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0A806">
      <w:pPr>
        <w:spacing w:line="240" w:lineRule="auto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pict>
          <v:shape id="_x0000_s1028" o:spid="_x0000_s1028" style="position:absolute;left:0pt;margin-left:-5.9pt;margin-top:13.75pt;height:0.5pt;width:542pt;z-index:251659264;mso-width-relative:page;mso-height-relative:page;" filled="f" stroked="t" coordsize="10840,10" path="m0,4l10840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 w14:paraId="0088D9DB">
      <w:pPr>
        <w:spacing w:line="240" w:lineRule="auto"/>
        <w:ind w:left="0"/>
        <w:jc w:val="center"/>
        <w:outlineLvl w:val="0"/>
        <w:rPr>
          <w:rFonts w:hint="eastAsia" w:ascii="宋体" w:hAnsi="宋体" w:eastAsia="宋体" w:cs="宋体"/>
          <w:b/>
          <w:bCs/>
          <w:spacing w:val="-3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山之灵旅行社有限公司</w:t>
      </w:r>
    </w:p>
    <w:p w14:paraId="103AE92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山之灵旅行社创立于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2010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，总部设于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成都、北京、西安等各地均有分部，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是国家文旅部首批核准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的“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外宾A类资质”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入境游企业。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年来，公司只专注一件事：把中国西部与东北的极致山河，讲给世界听。</w:t>
      </w:r>
    </w:p>
    <w:p w14:paraId="5B586E5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目前，我们已深耕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四川、西藏、新疆、贵州、云南、哈尔滨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等热门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黄金目的地，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年接待外宾3.2万人次，累计组织入境团队4,600余团，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0重大事故、0重大投诉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，携程/猫途鹰综合好评率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99.7%。</w:t>
      </w:r>
    </w:p>
    <w:p w14:paraId="2200FE1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资源硬实力</w:t>
      </w:r>
    </w:p>
    <w:p w14:paraId="0103DD3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川藏线317/318往返800+趟，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拥有自营车队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青藏铁路票源一级代理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，乌鲁木齐—喀什—塔什库尔干段包车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独家审批通道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；新疆独库公路、伊昭公路封/解封信息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官方合作单位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；贵州西江千户苗寨、云南哈尼梯田、哈尔滨冰雪大世界等景区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VIP绿色通道官方授权</w:t>
      </w:r>
    </w:p>
    <w:p w14:paraId="49D203B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服务软实力</w:t>
      </w:r>
    </w:p>
    <w:p w14:paraId="663DF6B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136名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全职持证导游，覆盖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英、法、德、西、日五语种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24h机场医疗站＋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便携式高压氧舱＋血氧监测手环，高海拔行程全程随行；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餐饮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：米其林餐标＋藏式家宴＋清真现宰现烤全羊，全部使用可追溯食材；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酒店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：直签成都世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纪城天堂洲际、拉萨香格里拉、日喀则松赞、喀纳斯阿尔卡迪亚、哈尔滨敖麓谷雅等38家五星/特色野奢。</w:t>
      </w:r>
    </w:p>
    <w:p w14:paraId="67CE6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主题产品线</w:t>
      </w:r>
    </w:p>
    <w:p w14:paraId="2CBF747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default" w:ascii="微软雅黑" w:hAnsi="微软雅黑" w:eastAsia="微软雅黑" w:cs="微软雅黑"/>
          <w:spacing w:val="-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 四川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大熊猫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格聂之眼、九寨黄龙、稻城亚丁)、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拉萨—珠峰—阿里转山15日、冬季蓝冰桃花摄影团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新疆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北疆蓝冰赛里木湖、南疆帕米尔高原杏花、夏季伊犁薰衣草房车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贵州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苗年节银饰锻造、侗族大歌、FAST天眼天文之旅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云南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哈尼梯田稻作文化、普洱茶庄园沉浸式制茶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哈尔滨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冬季冰雪大世界包场＋亚布力私享雪道＋东北虎监测科研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等</w:t>
      </w:r>
    </w:p>
    <w:p w14:paraId="3C6DF45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0FF62C9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DC693A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63ECF49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4BFF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28B88E0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35FFE08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公司地址：西藏自治区拉萨市城西区空指路晨曦花园602室</w:t>
      </w:r>
    </w:p>
    <w:p w14:paraId="1904A3A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公司官网：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instrText xml:space="preserve"> HYPERLINK "https://www.shanzhilingtour.com/" </w:instrTex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separate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https: / / www. shanzhilingtour. com/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end"/>
      </w:r>
    </w:p>
    <w:p w14:paraId="2B5FBDA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联系电话：+8618380448353</w:t>
      </w:r>
    </w:p>
    <w:p w14:paraId="7E27965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 xml:space="preserve">Email：shanzhilingtravel@ gmail. </w:t>
      </w:r>
      <w:r>
        <w:rPr>
          <w:rFonts w:hint="eastAsia" w:ascii="微软雅黑" w:hAnsi="微软雅黑" w:eastAsia="宋体" w:cs="微软雅黑"/>
          <w:spacing w:val="-2"/>
          <w:sz w:val="20"/>
          <w:szCs w:val="20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om</w:t>
      </w:r>
    </w:p>
    <w:p w14:paraId="57F4C5F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firstLine="2744" w:firstLineChars="1400"/>
        <w:textAlignment w:val="baseline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微信:15718067437  / Line: szl2010  /</w:t>
      </w:r>
      <w:r>
        <w:rPr>
          <w:rFonts w:hint="eastAsia" w:ascii="微软雅黑" w:hAnsi="微软雅黑" w:eastAsia="微软雅黑" w:cs="微软雅黑"/>
          <w:spacing w:val="-2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WhatsApp: +86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1838448353</w:t>
      </w:r>
    </w:p>
    <w:p w14:paraId="6EE4B1F1">
      <w:pPr>
        <w:spacing w:line="243" w:lineRule="auto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新疆目的地简易行程</w:t>
      </w:r>
      <w:r>
        <w:rPr>
          <w:rFonts w:hint="eastAsia" w:ascii="Times New Roman" w:hAnsi="Times New Roman" w:eastAsia="宋体" w:cs="Times New Roman"/>
          <w:b/>
          <w:bCs/>
          <w:sz w:val="22"/>
          <w:szCs w:val="22"/>
          <w:lang w:val="en-US" w:eastAsia="zh-CN"/>
        </w:rPr>
        <w:t>（如果需要详细行程，请联系客服）</w:t>
      </w:r>
    </w:p>
    <w:tbl>
      <w:tblPr>
        <w:tblStyle w:val="7"/>
        <w:tblpPr w:leftFromText="180" w:rightFromText="180" w:vertAnchor="text" w:horzAnchor="page" w:tblpX="667" w:tblpY="223"/>
        <w:tblOverlap w:val="never"/>
        <w:tblW w:w="10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5412"/>
        <w:gridCol w:w="1705"/>
        <w:gridCol w:w="2747"/>
      </w:tblGrid>
      <w:tr w14:paraId="0AAC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835" w:type="dxa"/>
            <w:vAlign w:val="center"/>
          </w:tcPr>
          <w:p w14:paraId="35DF6EC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5412" w:type="dxa"/>
            <w:vAlign w:val="center"/>
          </w:tcPr>
          <w:p w14:paraId="4B9C82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行程</w:t>
            </w:r>
          </w:p>
        </w:tc>
        <w:tc>
          <w:tcPr>
            <w:tcW w:w="1705" w:type="dxa"/>
            <w:vAlign w:val="center"/>
          </w:tcPr>
          <w:p w14:paraId="3AB2835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酒店</w:t>
            </w:r>
          </w:p>
        </w:tc>
        <w:tc>
          <w:tcPr>
            <w:tcW w:w="2747" w:type="dxa"/>
            <w:vAlign w:val="center"/>
          </w:tcPr>
          <w:p w14:paraId="09FF9995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公里数及海拔</w:t>
            </w:r>
          </w:p>
        </w:tc>
      </w:tr>
      <w:tr w14:paraId="0417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2BCFDC4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bookmarkStart w:id="0" w:name="OLE_LINK22" w:colFirst="4" w:colLast="4"/>
            <w:bookmarkStart w:id="1" w:name="OLE_LINK18" w:colFirst="0" w:colLast="3"/>
            <w:bookmarkStart w:id="2" w:name="OLE_LINK23" w:colFirst="1" w:colLast="1"/>
            <w:bookmarkStart w:id="3" w:name="OLE_LINK19" w:colFirst="0" w:colLast="1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</w:t>
            </w:r>
          </w:p>
        </w:tc>
        <w:tc>
          <w:tcPr>
            <w:tcW w:w="5412" w:type="dxa"/>
            <w:vAlign w:val="center"/>
          </w:tcPr>
          <w:p w14:paraId="1C52D3AA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各地-乌鲁木齐 (接机)</w:t>
            </w:r>
          </w:p>
        </w:tc>
        <w:tc>
          <w:tcPr>
            <w:tcW w:w="1705" w:type="dxa"/>
            <w:vAlign w:val="center"/>
          </w:tcPr>
          <w:p w14:paraId="4A1B877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C92071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30km</w:t>
            </w:r>
          </w:p>
        </w:tc>
      </w:tr>
      <w:tr w14:paraId="244C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5C2AE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D2</w:t>
            </w:r>
          </w:p>
        </w:tc>
        <w:tc>
          <w:tcPr>
            <w:tcW w:w="5412" w:type="dxa"/>
            <w:vAlign w:val="center"/>
          </w:tcPr>
          <w:p w14:paraId="1DDFCEE4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乌鲁木齐-博斯腾湖-库尔勒</w:t>
            </w:r>
          </w:p>
        </w:tc>
        <w:tc>
          <w:tcPr>
            <w:tcW w:w="1705" w:type="dxa"/>
            <w:vAlign w:val="center"/>
          </w:tcPr>
          <w:p w14:paraId="086D82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DC35E7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460km</w:t>
            </w:r>
          </w:p>
        </w:tc>
      </w:tr>
      <w:tr w14:paraId="4573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6FD351E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D3</w:t>
            </w:r>
          </w:p>
        </w:tc>
        <w:tc>
          <w:tcPr>
            <w:tcW w:w="5412" w:type="dxa"/>
            <w:vAlign w:val="center"/>
          </w:tcPr>
          <w:p w14:paraId="3047C5A3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库尔勒-塔里木胡杨林/库车王府-热斯坦街-库车</w:t>
            </w:r>
          </w:p>
        </w:tc>
        <w:tc>
          <w:tcPr>
            <w:tcW w:w="1705" w:type="dxa"/>
            <w:vAlign w:val="center"/>
          </w:tcPr>
          <w:p w14:paraId="169DC43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05FED52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500km</w:t>
            </w:r>
          </w:p>
        </w:tc>
      </w:tr>
      <w:tr w14:paraId="1D03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37F709C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D4</w:t>
            </w:r>
          </w:p>
        </w:tc>
        <w:tc>
          <w:tcPr>
            <w:tcW w:w="5412" w:type="dxa"/>
            <w:vAlign w:val="center"/>
          </w:tcPr>
          <w:p w14:paraId="333FCC37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库车-温宿大峡谷-阿克苏</w:t>
            </w:r>
          </w:p>
        </w:tc>
        <w:tc>
          <w:tcPr>
            <w:tcW w:w="1705" w:type="dxa"/>
            <w:vAlign w:val="center"/>
          </w:tcPr>
          <w:p w14:paraId="33555C5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6587854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640km</w:t>
            </w:r>
          </w:p>
        </w:tc>
      </w:tr>
      <w:tr w14:paraId="6ED6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4A31986E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D5</w:t>
            </w:r>
          </w:p>
        </w:tc>
        <w:tc>
          <w:tcPr>
            <w:tcW w:w="5412" w:type="dxa"/>
            <w:vAlign w:val="center"/>
          </w:tcPr>
          <w:p w14:paraId="3E48FA5B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阿克苏-喀什古城-喀什</w:t>
            </w:r>
          </w:p>
        </w:tc>
        <w:tc>
          <w:tcPr>
            <w:tcW w:w="1705" w:type="dxa"/>
            <w:vAlign w:val="center"/>
          </w:tcPr>
          <w:p w14:paraId="35D5CE2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2C160F1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310km</w:t>
            </w:r>
          </w:p>
        </w:tc>
      </w:tr>
      <w:tr w14:paraId="05104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A9FCF7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D6</w:t>
            </w:r>
          </w:p>
        </w:tc>
        <w:tc>
          <w:tcPr>
            <w:tcW w:w="5412" w:type="dxa"/>
            <w:vAlign w:val="center"/>
          </w:tcPr>
          <w:p w14:paraId="2B08E5F6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喀什-帕米尔高原-白沙湖-喀拉库勒湖-塔县</w:t>
            </w:r>
          </w:p>
        </w:tc>
        <w:tc>
          <w:tcPr>
            <w:tcW w:w="1705" w:type="dxa"/>
            <w:vAlign w:val="center"/>
          </w:tcPr>
          <w:p w14:paraId="592AAB6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429C200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400km</w:t>
            </w:r>
          </w:p>
        </w:tc>
      </w:tr>
      <w:tr w14:paraId="0D161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73971BA9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D7</w:t>
            </w:r>
          </w:p>
        </w:tc>
        <w:tc>
          <w:tcPr>
            <w:tcW w:w="5412" w:type="dxa"/>
            <w:vAlign w:val="center"/>
          </w:tcPr>
          <w:p w14:paraId="7A1897F1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塔县-金草滩-石头城-盘龙古道-喀什</w:t>
            </w:r>
          </w:p>
        </w:tc>
        <w:tc>
          <w:tcPr>
            <w:tcW w:w="1705" w:type="dxa"/>
            <w:vAlign w:val="center"/>
          </w:tcPr>
          <w:p w14:paraId="74E3C48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775874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450km</w:t>
            </w:r>
          </w:p>
        </w:tc>
      </w:tr>
      <w:tr w14:paraId="4DBA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5E65DE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D8</w:t>
            </w:r>
          </w:p>
        </w:tc>
        <w:tc>
          <w:tcPr>
            <w:tcW w:w="5412" w:type="dxa"/>
            <w:vAlign w:val="center"/>
          </w:tcPr>
          <w:p w14:paraId="2AC70A18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喀什自由活动-喀什古城-清真寺-香妃园火车/飞机乌鲁木齐</w:t>
            </w:r>
          </w:p>
        </w:tc>
        <w:tc>
          <w:tcPr>
            <w:tcW w:w="1705" w:type="dxa"/>
            <w:vAlign w:val="center"/>
          </w:tcPr>
          <w:p w14:paraId="1F2141A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50ED5E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30km</w:t>
            </w:r>
          </w:p>
        </w:tc>
      </w:tr>
      <w:tr w14:paraId="02273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F35223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D9</w:t>
            </w:r>
          </w:p>
        </w:tc>
        <w:tc>
          <w:tcPr>
            <w:tcW w:w="5412" w:type="dxa"/>
            <w:vAlign w:val="center"/>
          </w:tcPr>
          <w:p w14:paraId="35645616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抵达乌鲁木齐-各地（送机）</w:t>
            </w:r>
          </w:p>
        </w:tc>
        <w:tc>
          <w:tcPr>
            <w:tcW w:w="1705" w:type="dxa"/>
            <w:vAlign w:val="center"/>
          </w:tcPr>
          <w:p w14:paraId="7983009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7EF5015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40km</w:t>
            </w:r>
          </w:p>
        </w:tc>
      </w:tr>
      <w:bookmarkEnd w:id="0"/>
      <w:bookmarkEnd w:id="1"/>
      <w:bookmarkEnd w:id="2"/>
      <w:bookmarkEnd w:id="3"/>
    </w:tbl>
    <w:p w14:paraId="4E8DB586">
      <w:pPr>
        <w:spacing w:line="244" w:lineRule="auto"/>
        <w:jc w:val="center"/>
        <w:rPr>
          <w:rFonts w:ascii="Arial"/>
          <w:sz w:val="21"/>
        </w:rPr>
      </w:pPr>
    </w:p>
    <w:p w14:paraId="061C8092">
      <w:pPr>
        <w:spacing w:line="244" w:lineRule="auto"/>
        <w:jc w:val="center"/>
        <w:rPr>
          <w:rFonts w:ascii="Arial"/>
          <w:sz w:val="21"/>
        </w:rPr>
      </w:pPr>
    </w:p>
    <w:p w14:paraId="7C1287EC">
      <w:pPr>
        <w:spacing w:line="244" w:lineRule="auto"/>
        <w:jc w:val="center"/>
        <w:rPr>
          <w:rFonts w:ascii="Arial"/>
          <w:sz w:val="21"/>
        </w:rPr>
      </w:pPr>
    </w:p>
    <w:p w14:paraId="5000DEED">
      <w:pPr>
        <w:spacing w:line="244" w:lineRule="auto"/>
        <w:jc w:val="center"/>
        <w:rPr>
          <w:rFonts w:ascii="Arial"/>
          <w:sz w:val="21"/>
        </w:rPr>
      </w:pPr>
    </w:p>
    <w:p w14:paraId="756051C5">
      <w:pPr>
        <w:spacing w:line="244" w:lineRule="auto"/>
        <w:jc w:val="center"/>
        <w:rPr>
          <w:rFonts w:ascii="Arial"/>
          <w:sz w:val="21"/>
        </w:rPr>
      </w:pPr>
    </w:p>
    <w:p w14:paraId="6C1E8515">
      <w:pPr>
        <w:spacing w:line="244" w:lineRule="auto"/>
        <w:jc w:val="center"/>
        <w:rPr>
          <w:rFonts w:ascii="Arial"/>
          <w:sz w:val="21"/>
        </w:rPr>
      </w:pPr>
    </w:p>
    <w:p w14:paraId="5993AE3B">
      <w:pPr>
        <w:spacing w:line="244" w:lineRule="auto"/>
        <w:jc w:val="center"/>
        <w:rPr>
          <w:rFonts w:ascii="Arial"/>
          <w:sz w:val="21"/>
        </w:rPr>
      </w:pPr>
    </w:p>
    <w:p w14:paraId="74C2543E">
      <w:pPr>
        <w:spacing w:line="244" w:lineRule="auto"/>
        <w:jc w:val="center"/>
        <w:rPr>
          <w:rFonts w:ascii="Arial"/>
          <w:sz w:val="21"/>
        </w:rPr>
      </w:pPr>
    </w:p>
    <w:p w14:paraId="52552579">
      <w:pPr>
        <w:spacing w:line="244" w:lineRule="auto"/>
        <w:jc w:val="center"/>
        <w:rPr>
          <w:rFonts w:ascii="Arial"/>
          <w:sz w:val="21"/>
        </w:rPr>
      </w:pPr>
    </w:p>
    <w:p w14:paraId="05E70B6B">
      <w:pPr>
        <w:spacing w:line="244" w:lineRule="auto"/>
        <w:jc w:val="center"/>
        <w:rPr>
          <w:rFonts w:ascii="Arial"/>
          <w:sz w:val="21"/>
        </w:rPr>
      </w:pPr>
    </w:p>
    <w:p w14:paraId="62F06072">
      <w:pPr>
        <w:spacing w:line="244" w:lineRule="auto"/>
        <w:jc w:val="center"/>
        <w:rPr>
          <w:rFonts w:ascii="Arial"/>
          <w:sz w:val="21"/>
        </w:rPr>
      </w:pPr>
    </w:p>
    <w:p w14:paraId="19B61AB3">
      <w:pPr>
        <w:spacing w:line="244" w:lineRule="auto"/>
        <w:jc w:val="center"/>
        <w:rPr>
          <w:rFonts w:ascii="Arial"/>
          <w:sz w:val="21"/>
        </w:rPr>
      </w:pPr>
    </w:p>
    <w:p w14:paraId="5D29C068">
      <w:pPr>
        <w:spacing w:line="244" w:lineRule="auto"/>
        <w:jc w:val="center"/>
        <w:rPr>
          <w:rFonts w:ascii="Arial"/>
          <w:sz w:val="21"/>
        </w:rPr>
      </w:pPr>
    </w:p>
    <w:p w14:paraId="33C6AD40">
      <w:pPr>
        <w:spacing w:line="244" w:lineRule="auto"/>
        <w:rPr>
          <w:rFonts w:ascii="Arial"/>
          <w:sz w:val="21"/>
        </w:rPr>
      </w:pPr>
    </w:p>
    <w:p w14:paraId="265710EE">
      <w:pPr>
        <w:spacing w:line="244" w:lineRule="auto"/>
        <w:rPr>
          <w:rFonts w:ascii="Arial"/>
          <w:sz w:val="21"/>
        </w:rPr>
      </w:pPr>
    </w:p>
    <w:p w14:paraId="14600CA9">
      <w:pPr>
        <w:pStyle w:val="3"/>
        <w:spacing w:before="238" w:line="213" w:lineRule="auto"/>
        <w:rPr>
          <w:rFonts w:ascii="Arial"/>
          <w:sz w:val="21"/>
        </w:rPr>
      </w:pPr>
      <w:r>
        <w:rPr>
          <w:rFonts w:hint="eastAsia" w:ascii="微软雅黑" w:hAnsi="微软雅黑" w:eastAsia="宋体" w:cs="微软雅黑"/>
          <w:b/>
          <w:bCs/>
          <w:spacing w:val="-1"/>
          <w:sz w:val="32"/>
          <w:szCs w:val="32"/>
          <w:lang w:val="en-US" w:eastAsia="zh-CN"/>
        </w:rPr>
        <w:t>费用说明</w:t>
      </w:r>
    </w:p>
    <w:tbl>
      <w:tblPr>
        <w:tblStyle w:val="7"/>
        <w:tblpPr w:leftFromText="180" w:rightFromText="180" w:vertAnchor="text" w:horzAnchor="page" w:tblpX="1068" w:tblpY="246"/>
        <w:tblOverlap w:val="never"/>
        <w:tblW w:w="10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927"/>
        <w:gridCol w:w="2059"/>
        <w:gridCol w:w="2059"/>
        <w:gridCol w:w="2060"/>
      </w:tblGrid>
      <w:tr w14:paraId="099DF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92" w:type="dxa"/>
            <w:vAlign w:val="center"/>
          </w:tcPr>
          <w:p w14:paraId="3AD927B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1927" w:type="dxa"/>
            <w:vAlign w:val="center"/>
          </w:tcPr>
          <w:p w14:paraId="158FCFF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2059" w:type="dxa"/>
            <w:vAlign w:val="center"/>
          </w:tcPr>
          <w:p w14:paraId="60286F38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出发地</w:t>
            </w:r>
          </w:p>
        </w:tc>
        <w:tc>
          <w:tcPr>
            <w:tcW w:w="2059" w:type="dxa"/>
            <w:vAlign w:val="center"/>
          </w:tcPr>
          <w:p w14:paraId="13E5CE1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车辆</w:t>
            </w:r>
          </w:p>
        </w:tc>
        <w:tc>
          <w:tcPr>
            <w:tcW w:w="2060" w:type="dxa"/>
            <w:vAlign w:val="center"/>
          </w:tcPr>
          <w:p w14:paraId="7FF7EC0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b/>
                <w:bCs/>
                <w:sz w:val="22"/>
                <w:szCs w:val="22"/>
                <w:vertAlign w:val="baseline"/>
                <w:lang w:val="en-US" w:eastAsia="zh-CN"/>
              </w:rPr>
              <w:t>价格 / 人（人民币）</w:t>
            </w:r>
          </w:p>
        </w:tc>
      </w:tr>
      <w:tr w14:paraId="1069C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192" w:type="dxa"/>
            <w:vAlign w:val="center"/>
          </w:tcPr>
          <w:p w14:paraId="0C7A302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927" w:type="dxa"/>
            <w:vAlign w:val="center"/>
          </w:tcPr>
          <w:p w14:paraId="2EE5D36C">
            <w:pPr>
              <w:widowControl w:val="0"/>
              <w:jc w:val="both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5C5E265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2AFC389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60" w:type="dxa"/>
            <w:vAlign w:val="center"/>
          </w:tcPr>
          <w:p w14:paraId="58A3DA0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</w:tr>
    </w:tbl>
    <w:p w14:paraId="0ED25E57">
      <w:pPr>
        <w:spacing w:line="244" w:lineRule="auto"/>
        <w:rPr>
          <w:rFonts w:ascii="Arial"/>
          <w:sz w:val="21"/>
        </w:rPr>
      </w:pPr>
    </w:p>
    <w:tbl>
      <w:tblPr>
        <w:tblStyle w:val="7"/>
        <w:tblpPr w:leftFromText="180" w:rightFromText="180" w:vertAnchor="text" w:horzAnchor="page" w:tblpX="1075" w:tblpY="49"/>
        <w:tblOverlap w:val="never"/>
        <w:tblW w:w="10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632"/>
        <w:gridCol w:w="2987"/>
        <w:gridCol w:w="912"/>
        <w:gridCol w:w="1141"/>
        <w:gridCol w:w="3097"/>
      </w:tblGrid>
      <w:tr w14:paraId="4BE7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150" w:type="dxa"/>
            <w:gridSpan w:val="3"/>
            <w:vAlign w:val="center"/>
          </w:tcPr>
          <w:p w14:paraId="006F9CAA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费用包含</w:t>
            </w:r>
          </w:p>
        </w:tc>
        <w:tc>
          <w:tcPr>
            <w:tcW w:w="5150" w:type="dxa"/>
            <w:gridSpan w:val="3"/>
            <w:vAlign w:val="center"/>
          </w:tcPr>
          <w:p w14:paraId="25C78BDC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费用不包含</w:t>
            </w:r>
          </w:p>
        </w:tc>
      </w:tr>
      <w:tr w14:paraId="07898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31" w:type="dxa"/>
            <w:vAlign w:val="center"/>
          </w:tcPr>
          <w:p w14:paraId="1E235BD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32" w:type="dxa"/>
            <w:vAlign w:val="center"/>
          </w:tcPr>
          <w:p w14:paraId="2110930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交通安排</w:t>
            </w:r>
          </w:p>
        </w:tc>
        <w:tc>
          <w:tcPr>
            <w:tcW w:w="2987" w:type="dxa"/>
            <w:vAlign w:val="center"/>
          </w:tcPr>
          <w:p w14:paraId="64FF71AC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XXX车</w:t>
            </w:r>
          </w:p>
        </w:tc>
        <w:tc>
          <w:tcPr>
            <w:tcW w:w="912" w:type="dxa"/>
            <w:vAlign w:val="center"/>
          </w:tcPr>
          <w:p w14:paraId="653F1EE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41" w:type="dxa"/>
            <w:vAlign w:val="center"/>
          </w:tcPr>
          <w:p w14:paraId="59055F8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房损</w:t>
            </w:r>
          </w:p>
        </w:tc>
        <w:tc>
          <w:tcPr>
            <w:tcW w:w="3097" w:type="dxa"/>
            <w:vAlign w:val="center"/>
          </w:tcPr>
          <w:p w14:paraId="02E44A6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由于全款订房，行程中途变动产生的房费自理</w:t>
            </w:r>
          </w:p>
        </w:tc>
      </w:tr>
      <w:tr w14:paraId="6674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31" w:type="dxa"/>
            <w:vAlign w:val="center"/>
          </w:tcPr>
          <w:p w14:paraId="3F9FF0B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32" w:type="dxa"/>
            <w:vAlign w:val="center"/>
          </w:tcPr>
          <w:p w14:paraId="0E6619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导游安排</w:t>
            </w:r>
          </w:p>
        </w:tc>
        <w:tc>
          <w:tcPr>
            <w:tcW w:w="2987" w:type="dxa"/>
            <w:vAlign w:val="center"/>
          </w:tcPr>
          <w:p w14:paraId="3489CAF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XXX导游</w:t>
            </w:r>
          </w:p>
        </w:tc>
        <w:tc>
          <w:tcPr>
            <w:tcW w:w="912" w:type="dxa"/>
            <w:vAlign w:val="center"/>
          </w:tcPr>
          <w:p w14:paraId="20655D83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41" w:type="dxa"/>
            <w:vAlign w:val="center"/>
          </w:tcPr>
          <w:p w14:paraId="15ED6F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单房差</w:t>
            </w:r>
          </w:p>
        </w:tc>
        <w:tc>
          <w:tcPr>
            <w:tcW w:w="3097" w:type="dxa"/>
            <w:vAlign w:val="center"/>
          </w:tcPr>
          <w:p w14:paraId="44B3B8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酒店默认2人一间房（多人间除外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），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如住单间 ，须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另外补齐单房差（</w:t>
            </w:r>
            <w:r>
              <w:rPr>
                <w:rFonts w:hint="eastAsia" w:ascii="微软雅黑" w:hAnsi="微软雅黑" w:eastAsia="微软雅黑" w:cs="微软雅黑"/>
              </w:rPr>
              <w:t>XXX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元）</w:t>
            </w:r>
          </w:p>
        </w:tc>
      </w:tr>
      <w:tr w14:paraId="07234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31" w:type="dxa"/>
            <w:vAlign w:val="center"/>
          </w:tcPr>
          <w:p w14:paraId="4DD125E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632" w:type="dxa"/>
            <w:vAlign w:val="center"/>
          </w:tcPr>
          <w:p w14:paraId="4E4BC94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酒店安排</w:t>
            </w:r>
          </w:p>
        </w:tc>
        <w:tc>
          <w:tcPr>
            <w:tcW w:w="2987" w:type="dxa"/>
            <w:vAlign w:val="center"/>
          </w:tcPr>
          <w:p w14:paraId="31A1397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3/4/5星酒店</w:t>
            </w:r>
          </w:p>
        </w:tc>
        <w:tc>
          <w:tcPr>
            <w:tcW w:w="912" w:type="dxa"/>
            <w:vAlign w:val="center"/>
          </w:tcPr>
          <w:p w14:paraId="103947D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41" w:type="dxa"/>
            <w:vAlign w:val="center"/>
          </w:tcPr>
          <w:p w14:paraId="7075C2C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个人消费</w:t>
            </w:r>
          </w:p>
        </w:tc>
        <w:tc>
          <w:tcPr>
            <w:tcW w:w="3097" w:type="dxa"/>
            <w:vAlign w:val="center"/>
          </w:tcPr>
          <w:p w14:paraId="6F2A4A47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酒店内洗衣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、电话 、传真</w:t>
            </w:r>
            <w:r>
              <w:rPr>
                <w:rFonts w:hint="eastAsia" w:ascii="微软雅黑" w:hAnsi="微软雅黑" w:eastAsia="微软雅黑" w:cs="微软雅黑"/>
                <w:spacing w:val="-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、收费电视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、饮料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、零食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、烟酒等其他个人消费</w:t>
            </w:r>
          </w:p>
        </w:tc>
      </w:tr>
      <w:tr w14:paraId="5B12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31" w:type="dxa"/>
            <w:vAlign w:val="center"/>
          </w:tcPr>
          <w:p w14:paraId="35F286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32" w:type="dxa"/>
            <w:vAlign w:val="center"/>
          </w:tcPr>
          <w:p w14:paraId="1AB84B6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餐食安排</w:t>
            </w:r>
          </w:p>
        </w:tc>
        <w:tc>
          <w:tcPr>
            <w:tcW w:w="2987" w:type="dxa"/>
            <w:vAlign w:val="center"/>
          </w:tcPr>
          <w:p w14:paraId="43B0A35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几顿早餐/几顿晚餐</w:t>
            </w:r>
          </w:p>
        </w:tc>
        <w:tc>
          <w:tcPr>
            <w:tcW w:w="912" w:type="dxa"/>
            <w:vAlign w:val="center"/>
          </w:tcPr>
          <w:p w14:paraId="437694E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41" w:type="dxa"/>
            <w:vAlign w:val="center"/>
          </w:tcPr>
          <w:p w14:paraId="0878F92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意外情况</w:t>
            </w:r>
          </w:p>
        </w:tc>
        <w:tc>
          <w:tcPr>
            <w:tcW w:w="3097" w:type="dxa"/>
            <w:vAlign w:val="center"/>
          </w:tcPr>
          <w:p w14:paraId="638F449C">
            <w:pPr>
              <w:pStyle w:val="3"/>
              <w:widowControl w:val="0"/>
              <w:spacing w:before="257" w:line="217" w:lineRule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因不可抗拒的客观原因和非旅行社原因（如天灾、战争、罢工、疫情等）或航空公司航班原因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相应的超出费用，旅行社有权追加收取</w:t>
            </w:r>
          </w:p>
          <w:p w14:paraId="0D52C952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7AF9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31" w:type="dxa"/>
            <w:vAlign w:val="center"/>
          </w:tcPr>
          <w:p w14:paraId="0AFB2D0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632" w:type="dxa"/>
            <w:vAlign w:val="center"/>
          </w:tcPr>
          <w:p w14:paraId="38280B2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门票</w:t>
            </w:r>
          </w:p>
        </w:tc>
        <w:tc>
          <w:tcPr>
            <w:tcW w:w="2987" w:type="dxa"/>
            <w:vAlign w:val="center"/>
          </w:tcPr>
          <w:p w14:paraId="4E81B95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是否包含所有门票</w:t>
            </w:r>
          </w:p>
        </w:tc>
        <w:tc>
          <w:tcPr>
            <w:tcW w:w="912" w:type="dxa"/>
            <w:vAlign w:val="center"/>
          </w:tcPr>
          <w:p w14:paraId="30621A88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41" w:type="dxa"/>
            <w:vAlign w:val="center"/>
          </w:tcPr>
          <w:p w14:paraId="75A105F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小费</w:t>
            </w:r>
          </w:p>
        </w:tc>
        <w:tc>
          <w:tcPr>
            <w:tcW w:w="3097" w:type="dxa"/>
            <w:vAlign w:val="center"/>
          </w:tcPr>
          <w:p w14:paraId="78D701FB">
            <w:pPr>
              <w:pStyle w:val="3"/>
              <w:widowControl w:val="0"/>
              <w:spacing w:before="287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不强制要求小费，如果觉得导游司机服务很棒，建议游客可以每人每天各给司机和导游 30 元</w:t>
            </w:r>
          </w:p>
          <w:p w14:paraId="1B937C3D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2886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1" w:type="dxa"/>
            <w:vAlign w:val="center"/>
          </w:tcPr>
          <w:p w14:paraId="1282C12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632" w:type="dxa"/>
            <w:vAlign w:val="center"/>
          </w:tcPr>
          <w:p w14:paraId="3F6BA17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旅游保险</w:t>
            </w:r>
          </w:p>
        </w:tc>
        <w:tc>
          <w:tcPr>
            <w:tcW w:w="2987" w:type="dxa"/>
            <w:vAlign w:val="center"/>
          </w:tcPr>
          <w:p w14:paraId="075DB8E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 w:eastAsia="宋体"/>
                <w:sz w:val="21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1675765</wp:posOffset>
                  </wp:positionH>
                  <wp:positionV relativeFrom="paragraph">
                    <wp:posOffset>495935</wp:posOffset>
                  </wp:positionV>
                  <wp:extent cx="3731895" cy="2799080"/>
                  <wp:effectExtent l="0" t="0" r="0" b="8255"/>
                  <wp:wrapNone/>
                  <wp:docPr id="1" name="图片 1" descr="160e7a91e27b28677a6addf6112ab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0e7a91e27b28677a6addf6112ab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895" cy="279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旅游意外险、旅游车座位险、旅行社责任险（三险齐全）</w:t>
            </w:r>
          </w:p>
        </w:tc>
        <w:tc>
          <w:tcPr>
            <w:tcW w:w="912" w:type="dxa"/>
            <w:vAlign w:val="center"/>
          </w:tcPr>
          <w:p w14:paraId="36E2E3A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 w14:paraId="2F75F4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往返大交通</w:t>
            </w:r>
          </w:p>
        </w:tc>
        <w:tc>
          <w:tcPr>
            <w:tcW w:w="3097" w:type="dxa"/>
            <w:vAlign w:val="center"/>
          </w:tcPr>
          <w:p w14:paraId="5252C4B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机票或火车票等往返川西的大交通费用不包含在团费内，若需要代订，费用另收</w:t>
            </w:r>
          </w:p>
        </w:tc>
      </w:tr>
      <w:tr w14:paraId="2B946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31" w:type="dxa"/>
            <w:vAlign w:val="center"/>
          </w:tcPr>
          <w:p w14:paraId="5A49A6A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632" w:type="dxa"/>
            <w:vAlign w:val="center"/>
          </w:tcPr>
          <w:p w14:paraId="7B84F53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接送服务</w:t>
            </w:r>
          </w:p>
        </w:tc>
        <w:tc>
          <w:tcPr>
            <w:tcW w:w="2987" w:type="dxa"/>
            <w:vAlign w:val="center"/>
          </w:tcPr>
          <w:p w14:paraId="1140277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提供24 小时免费接送机服务 </w:t>
            </w:r>
          </w:p>
        </w:tc>
        <w:tc>
          <w:tcPr>
            <w:tcW w:w="5150" w:type="dxa"/>
            <w:gridSpan w:val="3"/>
            <w:vMerge w:val="restart"/>
            <w:vAlign w:val="center"/>
          </w:tcPr>
          <w:p w14:paraId="562F2FD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DB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1" w:type="dxa"/>
            <w:vAlign w:val="center"/>
          </w:tcPr>
          <w:p w14:paraId="2F7C787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632" w:type="dxa"/>
            <w:vAlign w:val="center"/>
          </w:tcPr>
          <w:p w14:paraId="67E30C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无人机拍照</w:t>
            </w:r>
          </w:p>
        </w:tc>
        <w:tc>
          <w:tcPr>
            <w:tcW w:w="2987" w:type="dxa"/>
            <w:vAlign w:val="center"/>
          </w:tcPr>
          <w:p w14:paraId="0B48F80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提供免费无人机拍照服务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E00F2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CF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31" w:type="dxa"/>
            <w:vAlign w:val="center"/>
          </w:tcPr>
          <w:p w14:paraId="6B103C8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632" w:type="dxa"/>
            <w:vAlign w:val="center"/>
          </w:tcPr>
          <w:p w14:paraId="7614C9C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高原体检服务</w:t>
            </w:r>
          </w:p>
        </w:tc>
        <w:tc>
          <w:tcPr>
            <w:tcW w:w="2987" w:type="dxa"/>
            <w:vAlign w:val="center"/>
          </w:tcPr>
          <w:p w14:paraId="479424B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抵达拉萨安排医生对游客进行血氧、血压检查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4B6B3B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3D54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1" w:type="dxa"/>
            <w:vAlign w:val="center"/>
          </w:tcPr>
          <w:p w14:paraId="11A18F84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632" w:type="dxa"/>
            <w:vAlign w:val="center"/>
          </w:tcPr>
          <w:p w14:paraId="2C4460C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附加服务</w:t>
            </w:r>
          </w:p>
        </w:tc>
        <w:tc>
          <w:tcPr>
            <w:tcW w:w="2987" w:type="dxa"/>
            <w:vAlign w:val="center"/>
          </w:tcPr>
          <w:p w14:paraId="01D080F3">
            <w:pPr>
              <w:pStyle w:val="3"/>
              <w:widowControl w:val="0"/>
              <w:spacing w:before="238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赠送每人 1小瓶可携式氧气 ；</w:t>
            </w:r>
            <w:r>
              <w:rPr>
                <w:rFonts w:hint="eastAsia" w:ascii="微软雅黑" w:hAnsi="微软雅黑" w:eastAsia="微软雅黑" w:cs="微软雅黑"/>
                <w:spacing w:val="-1"/>
                <w:lang w:val="en-US" w:eastAsia="zh-CN"/>
              </w:rPr>
              <w:t>车载10L氧气钢瓶；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赠送每人每天</w:t>
            </w:r>
            <w:r>
              <w:rPr>
                <w:rFonts w:hint="eastAsia" w:ascii="微软雅黑" w:hAnsi="微软雅黑" w:eastAsia="微软雅黑" w:cs="微软雅黑"/>
                <w:spacing w:val="5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8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小瓶矿泉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水（300ml装）</w:t>
            </w:r>
          </w:p>
          <w:p w14:paraId="7F79B04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5150" w:type="dxa"/>
            <w:gridSpan w:val="3"/>
            <w:vMerge w:val="continue"/>
            <w:vAlign w:val="center"/>
          </w:tcPr>
          <w:p w14:paraId="572E0C1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</w:tbl>
    <w:p w14:paraId="4093B602">
      <w:pPr>
        <w:spacing w:line="244" w:lineRule="auto"/>
        <w:rPr>
          <w:rFonts w:ascii="Arial"/>
          <w:sz w:val="21"/>
        </w:rPr>
      </w:pPr>
    </w:p>
    <w:p w14:paraId="372700A3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退改政策</w:t>
      </w:r>
    </w:p>
    <w:p w14:paraId="052DBA1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1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出行前，游客由于自身原因取消行程的，定金退返政策如下：行程开始前 20 天以上取消，免费取消；行程开始前 19-4 天取消 ，收取所付定金30%违约金；行程开始前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 天以内取消，收取所付定金 50%违约金；行程开始前  1 天取消 ，定金不退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146F0A3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参团过程中 ，如因游客受伤，意外事故，或疾病等个人因素需要提前取消行程，退回未消费的门票与酒店费用，其中酒店若与他人拼房，离开后不影响我公司酒店预定房间数，不予退费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61E41E4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-1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在不影响行程的前提下，旅行社有权调整景点浏览以及住宿的前后顺序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44E6F2DE">
      <w:pPr>
        <w:spacing w:line="244" w:lineRule="auto"/>
        <w:rPr>
          <w:rFonts w:ascii="Arial"/>
          <w:sz w:val="21"/>
        </w:rPr>
      </w:pPr>
    </w:p>
    <w:p w14:paraId="13EE0DF2">
      <w:pPr>
        <w:spacing w:line="244" w:lineRule="auto"/>
        <w:rPr>
          <w:rFonts w:ascii="Arial"/>
          <w:sz w:val="21"/>
        </w:rPr>
      </w:pPr>
    </w:p>
    <w:p w14:paraId="47966238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服务标准承诺</w:t>
      </w:r>
    </w:p>
    <w:p w14:paraId="552535C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1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司机全程佩戴白手套（未执行游客群里发红包：100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5BDB5EB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2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衣着干净、整洁（未执行游客群里发红包：100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6B6D26C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每天打扫车内卫生（未执行游客群里发红包：200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0BA318D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4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安全驾驶，严禁超速（未执行游客群里发红包：500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46FAD69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5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提前10分钟抵达规定位置迎接游客（宾馆 、景区 、餐厅等） 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3791121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6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开车接电话必须配载耳机并且时间不超过2分钟（未执行游客群里发红包：300 元）</w:t>
      </w:r>
    </w:p>
    <w:p w14:paraId="0845ABD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7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司机导游主动积极为游客提供力所能及的附加服务。</w:t>
      </w:r>
    </w:p>
    <w:p w14:paraId="6AF617E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8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亲切对待游客，让客人安心、放心 、有收获。</w:t>
      </w:r>
    </w:p>
    <w:p w14:paraId="2CE9A34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55EBEA8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C3D939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2A475C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47B19F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E16B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22070EC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3A2737E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4CB4B86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8C227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6416EA5">
      <w:pPr>
        <w:pStyle w:val="3"/>
        <w:pBdr>
          <w:bottom w:val="single" w:color="auto" w:sz="4" w:space="0"/>
        </w:pBdr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详细行程</w:t>
      </w:r>
    </w:p>
    <w:p w14:paraId="02F50917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</w:p>
    <w:p w14:paraId="1D890504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D1:各地-乌鲁木齐 (接机)</w:t>
      </w:r>
    </w:p>
    <w:p w14:paraId="35153254">
      <w:pPr>
        <w:pStyle w:val="3"/>
        <w:spacing w:before="238" w:line="213" w:lineRule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全天提供 24 小时乌鲁木齐地窝堡机场接机服务，导游举专属标识等候，协助提取行李后，专车接送至市区酒店。办理入住后游客可自由休整，缓解旅途疲劳。晚间可自行前往【大巴扎步行街】，感受新疆民俗氛围，品尝烤羊肉串、手抓饭等特色美食（导游提前提供美食推荐清单）。</w:t>
      </w:r>
    </w:p>
    <w:p w14:paraId="6039F30E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D2：乌鲁木齐-博斯腾湖-库尔勒</w:t>
      </w:r>
    </w:p>
    <w:p w14:paraId="3EBAF618">
      <w:pPr>
        <w:bidi w:val="0"/>
        <w:rPr>
          <w:rFonts w:hint="default"/>
          <w:lang w:val="en-US" w:eastAsia="zh-CN"/>
        </w:rPr>
      </w:pPr>
    </w:p>
    <w:p w14:paraId="6FAAE3F1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专车从乌鲁木齐出发，沿吐和高速前往博斯腾湖，途中停靠服务区 2 次，供游客休息、用餐（，导游推荐服务区特色简餐）。游览【博斯腾湖】（已含门票 + 景区区间车），导游带领打卡 “金沙滩”，漫步湖边栈道赏 “中国最大内陆淡水湖” 风光；夏季可体验湖边骑行（费用自理），秋季可观赏芦苇荡与候鸟（视季节而定）。专车前往库尔勒市区，途中导游介绍库尔勒 “梨城” 特色，推荐当地香梨购买渠道。抵达库尔勒，办理酒店入住，晚餐自理</w:t>
      </w:r>
    </w:p>
    <w:p w14:paraId="5883D50E">
      <w:pPr>
        <w:bidi w:val="0"/>
        <w:jc w:val="left"/>
        <w:rPr>
          <w:rFonts w:hint="eastAsia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</w:p>
    <w:p w14:paraId="7FEB429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D3：</w:t>
      </w:r>
      <w:r>
        <w:rPr>
          <w:rFonts w:hint="eastAsia" w:ascii="微软雅黑" w:hAnsi="微软雅黑" w:eastAsia="微软雅黑" w:cs="微软雅黑"/>
          <w:lang w:val="en-US" w:eastAsia="zh-CN"/>
        </w:rPr>
        <w:t>库尔勒-塔里木胡杨林/库车王府-热斯坦街-库车</w:t>
      </w:r>
    </w:p>
    <w:p w14:paraId="1C90DE7F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78FAE060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酒店早餐（含早），集合后专车前往【塔里木胡杨林国家森林公园】（约 200 公里，车程 3 小时，走独库公路南段支线）；抵达胡杨林（已含门票 + 小火车），乘小火车穿越胡杨林核心区，在 “英雄树”“水中胡杨” 等打卡点停留拍照，导游讲解胡杨林 “生而千年不死” 的生态特性；在胡杨林景区内用简餐，推荐便携套餐，避免耽误行程。午餐后专车前往阿克苏，途中欣赏戈壁与绿洲交替景观，导游介绍阿克苏 “苹果之乡” 的特色。抵达阿克苏，办理酒店入住，晚餐自理</w:t>
      </w:r>
    </w:p>
    <w:p w14:paraId="724BC1B5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334731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D4：</w:t>
      </w:r>
      <w:r>
        <w:rPr>
          <w:rFonts w:hint="eastAsia" w:ascii="微软雅黑" w:hAnsi="微软雅黑" w:eastAsia="微软雅黑" w:cs="微软雅黑"/>
          <w:lang w:val="en-US" w:eastAsia="zh-CN"/>
        </w:rPr>
        <w:t>库车-温宿大峡谷-阿克苏</w:t>
      </w:r>
    </w:p>
    <w:p w14:paraId="7B5C727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5C0C23EC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导游提醒游客携带防晒用品（帽子、墨镜、防晒霜）、饮用水，温宿大峡谷内紫外线强、气候干燥。专车前往【温宿大峡谷】，走乌红线，部分路段为盘山公路，导游提醒系好安全带）。游览温宿大峡谷（已含门票 + 区间车），乘区间车进入峡谷核心区，徒步游览 “玄奘古道”“英雄谷”，欣赏丹霞地貌、雅丹地貌交织的 “峡谷之王” 景观，导游讲解峡谷地质形成原理（约 2.5 亿年前的古海洋沉积岩）。在大峡谷景区出口餐厅用午餐，专车前往阿克苏市区（约 80 公里，车程 1.5-2 小时），途中导游介绍阿克苏 “苹果之乡” 特色，推荐优质苹果购买渠道。抵达阿克苏，办理酒店入住，晚餐自理（导游推荐市区特色餐厅，体验阿克苏老酸奶、烤全羊）。</w:t>
      </w:r>
    </w:p>
    <w:p w14:paraId="62641027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6EB01B9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D5：</w:t>
      </w:r>
      <w:r>
        <w:rPr>
          <w:rFonts w:hint="eastAsia" w:ascii="微软雅黑" w:hAnsi="微软雅黑" w:eastAsia="微软雅黑" w:cs="微软雅黑"/>
          <w:lang w:val="en-US" w:eastAsia="zh-CN"/>
        </w:rPr>
        <w:t>阿克苏-喀什古城-喀什</w:t>
      </w:r>
    </w:p>
    <w:p w14:paraId="44B3C88C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39036E17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酒店早餐（含早），导游核对当日人数，提醒携带身份证（喀什古城部分区域需登记）。专车前往喀什（约 460 公里，车程 5.5-6 小时，全程吐和高速，中途停靠服务区 1 次，午餐自理，推荐服务区新疆特色简餐）。抵达喀什，办理酒店入住。放好行李后深度游览【喀什古城】（免费开放，含导游讲解），走 “开城仪式” 广场（若赶上 16:00 开城仪式可观看），逛 “东巴扎” 体验市集氛围，参观维吾尔族传统民居，在 “百年老茶馆” 品尝手工茶（费用自理），感受南疆古城烟火气。晚餐自理（导游推荐古城内餐厅，如蓝公羊餐厅、艾提尕尔清真寺旁烤肉店，体验馕坑肉、缸子肉），餐后可自由逛古城夜景，打卡 “网红蓝色街巷”。</w:t>
      </w:r>
    </w:p>
    <w:p w14:paraId="0BECE343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D6：</w:t>
      </w:r>
      <w:r>
        <w:rPr>
          <w:rFonts w:hint="eastAsia" w:ascii="微软雅黑" w:hAnsi="微软雅黑" w:eastAsia="微软雅黑" w:cs="微软雅黑"/>
          <w:lang w:val="en-US" w:eastAsia="zh-CN"/>
        </w:rPr>
        <w:t>喀什-帕米尔高原-白沙湖-喀拉库勒湖-塔县</w:t>
      </w:r>
    </w:p>
    <w:p w14:paraId="3DA3A677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E460D8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酒店早餐（含早），导游协助游客确认边防证（提前在喀什办理，需身份证原件），提醒塔县海拔约 3200 米，避免剧烈运动，备好保暖衣物（高原昼夜温差大）。专车前往【白沙湖】（约 150 公里，车程 3-3.5 小时，走 G314 国道即喀喇昆仑公路，途中经过盖孜检查站，需下车配合检查），沿途欣赏奥依塔克红山、雪山远景。游览白沙湖（已含门票），沿湖边步道漫步，欣赏 “白色沙山 + 湛蓝湖水” 的高原景观，拍照留念，导游讲解白沙湖形成传说。在白沙湖周边用午餐，推荐高原特色简餐，如抓饭、烤饼。午餐后前往【喀拉库勒湖】（约 50 公里，车程 1.5-2 小时），近距离观赏慕士塔格峰（“冰山之父”）倒映在湖中的景观，感受高原湖泊与雪山交织的壮阔。参观结束后专车前往塔县市区（约 100 公里，车程 2.5-3 小时），途中欣赏高原草甸、牧民毡房景观，导游讲解喀喇昆仑公路 “世界上海拔最高公路” 的修建历史。抵达塔县，办理酒店入住，晚餐自理，推荐塔县特色餐厅，如牦牛火锅、高原羊肉汤，避免饮酒。</w:t>
      </w:r>
    </w:p>
    <w:p w14:paraId="692E24FA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09AF86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D7：</w:t>
      </w:r>
      <w:r>
        <w:rPr>
          <w:rFonts w:hint="eastAsia" w:ascii="微软雅黑" w:hAnsi="微软雅黑" w:eastAsia="微软雅黑" w:cs="微软雅黑"/>
          <w:lang w:val="en-US" w:eastAsia="zh-CN"/>
        </w:rPr>
        <w:t>塔县-金草滩-石头城-盘龙古道-喀什</w:t>
      </w:r>
    </w:p>
    <w:p w14:paraId="6529A8DA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495964A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酒店早餐（含早，以清淡为主，避免油腻），导游确认游客身体状况，无高反不适方可出发。游览【金草滩湿地公园】（已含门票 + 区间车），清晨的金草滩因湿地水汽呈现 “金色草原” 景观，沿木栈道漫步，打卡 “帕米尔雄鹰” 雕塑，俯瞰雪山背景下的草甸全景。游览【石头城】（与金草滩相邻，已含门票），参观汉代蒲犁国都城遗址，登上城墙了解古代军事防御体系，导游讲解石头城作为古丝绸之路驿站的历史地位。在塔县市区用午餐，推荐高原牦牛肉、手工面条。午餐后专车前往【盘龙古道】（约 70 公里，车程 2.5-3 小时，走塔莎古道支线，全程盘山公路，弯道密集，提醒游客备好防晕车药品）。在盘龙古道观景台游览（免费开放），打卡 “今日走过所有弯路，从此人生尽是坦途” 网红标语，欣赏盘山公路与峡谷交织的壮观景色（不自驾进入核心路段，确保安全）。参观结束后，专车返回喀什。抵达喀什，办理酒店入住，晚餐自理推荐酒店周边 24 小时餐厅或夜市，体验酸奶粽子、烤蛋。</w:t>
      </w:r>
    </w:p>
    <w:p w14:paraId="645544D9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6EA923E2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D8：</w:t>
      </w:r>
      <w:r>
        <w:rPr>
          <w:rFonts w:hint="eastAsia" w:ascii="微软雅黑" w:hAnsi="微软雅黑" w:eastAsia="微软雅黑" w:cs="微软雅黑"/>
          <w:lang w:val="en-US" w:eastAsia="zh-CN"/>
        </w:rPr>
        <w:t>喀什自由活动-喀什古城-清真寺-香妃园火车/飞机乌鲁木齐</w:t>
      </w:r>
    </w:p>
    <w:p w14:paraId="56CB734D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45448B0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上午参观【艾提尕尔清真寺】（已含门票，需提前预约，女性游客着装需得体，不穿短裤短裙），了解伊斯兰教文化；下午游览【香妃园】（已含门票），参观香妃故居、民俗博物馆，观看《香妃迎宾》实景表演。逛喀什古城 “西巴扎”，购买新疆特产（葡萄干、巴旦木、手工地毯）；前往 “百年老茶馆” 体验维吾尔族茶文化，品尝手工冰淇淋、核桃包子。沿喀什古城城墙徒步，打卡 “网红黄色街巷”，在古城内咖啡馆静坐观景，感受南疆慢生活节奏。根据游客火车 / 飞机时间，导游提前 2-3 小时安排专车送喀什火车站 / 机场，前往乌鲁木齐（飞机约 2 小时，火车约 10-12 小时）；抵达乌鲁木齐后，专车接送至酒店入住（若为次日早班机，安排机场周边酒店）。</w:t>
      </w:r>
    </w:p>
    <w:p w14:paraId="5907871B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bookmarkStart w:id="4" w:name="_GoBack"/>
      <w:bookmarkEnd w:id="4"/>
    </w:p>
    <w:p w14:paraId="27FD37D6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D9：</w:t>
      </w:r>
      <w:r>
        <w:rPr>
          <w:rFonts w:hint="eastAsia" w:ascii="微软雅黑" w:hAnsi="微软雅黑" w:eastAsia="微软雅黑" w:cs="微软雅黑"/>
          <w:lang w:val="en-US" w:eastAsia="zh-CN"/>
        </w:rPr>
        <w:t>抵达乌鲁木齐-各地（送机）</w:t>
      </w:r>
    </w:p>
    <w:p w14:paraId="186ACEF2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338438C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酒店早餐，根据游客航班时间，导游提前 2-3 小时安排专车送乌鲁木齐地窝堡机场（市区到机场约 25 公里，车程 40-50 分钟；机场周边酒店到机场约 5-10 公里，车程 15-20 分钟）。机场办理交接，导游致欢送词，协助游客核对登机信息，提醒携带好随身物品（尤其是购买的新疆特产），结束新疆之旅。</w:t>
      </w:r>
    </w:p>
    <w:sectPr>
      <w:headerReference r:id="rId5" w:type="default"/>
      <w:footerReference r:id="rId6" w:type="default"/>
      <w:pgSz w:w="11906" w:h="16839"/>
      <w:pgMar w:top="843" w:right="1650" w:bottom="0" w:left="13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1B139">
    <w:pPr>
      <w:pStyle w:val="4"/>
      <w:jc w:val="right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</w:rPr>
      <w:t>中国·西藏自治区·拉萨市城</w:t>
    </w:r>
    <w:r>
      <w:rPr>
        <w:rFonts w:hint="eastAsia" w:ascii="黑体" w:hAnsi="黑体" w:eastAsia="宋体" w:cs="黑体"/>
        <w:lang w:val="en-US" w:eastAsia="zh-CN"/>
      </w:rPr>
      <w:t>西</w:t>
    </w:r>
    <w:r>
      <w:rPr>
        <w:rFonts w:hint="eastAsia" w:ascii="黑体" w:hAnsi="黑体" w:eastAsia="黑体" w:cs="黑体"/>
      </w:rPr>
      <w:t>区</w:t>
    </w:r>
    <w:r>
      <w:rPr>
        <w:rFonts w:hint="eastAsia" w:ascii="黑体" w:hAnsi="黑体" w:eastAsia="宋体" w:cs="黑体"/>
        <w:lang w:val="en-US" w:eastAsia="zh-CN"/>
      </w:rPr>
      <w:t>空指路</w:t>
    </w:r>
    <w:r>
      <w:rPr>
        <w:rFonts w:hint="eastAsia" w:ascii="黑体" w:hAnsi="黑体" w:eastAsia="黑体" w:cs="黑体"/>
      </w:rPr>
      <w:t>-西藏</w:t>
    </w:r>
    <w:r>
      <w:rPr>
        <w:rFonts w:hint="eastAsia" w:ascii="黑体" w:hAnsi="黑体" w:eastAsia="宋体" w:cs="黑体"/>
        <w:lang w:val="en-US" w:eastAsia="zh-CN"/>
      </w:rPr>
      <w:t>山之灵</w:t>
    </w:r>
    <w:r>
      <w:rPr>
        <w:rFonts w:hint="eastAsia" w:ascii="黑体" w:hAnsi="黑体" w:eastAsia="黑体" w:cs="黑体"/>
      </w:rPr>
      <w:t>旅行社有限公司</w:t>
    </w:r>
  </w:p>
  <w:p w14:paraId="5D5DE490">
    <w:pPr>
      <w:pStyle w:val="3"/>
      <w:spacing w:before="46" w:line="229" w:lineRule="auto"/>
      <w:outlineLvl w:val="1"/>
      <w:rPr>
        <w:rFonts w:hint="eastAsia" w:ascii="黑体" w:hAnsi="黑体" w:eastAsia="黑体" w:cs="黑体"/>
        <w:b/>
        <w:bCs/>
        <w:spacing w:val="3"/>
        <w:lang w:val="en-US" w:eastAsia="zh-CN"/>
      </w:rPr>
    </w:pPr>
  </w:p>
  <w:p w14:paraId="0D857A07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9CEF9">
    <w:pPr>
      <w:spacing w:before="104" w:line="212" w:lineRule="auto"/>
      <w:ind w:firstLine="1260" w:firstLineChars="600"/>
      <w:outlineLvl w:val="0"/>
      <w:rPr>
        <w:rFonts w:hint="eastAsia" w:ascii="宋体" w:hAnsi="宋体" w:eastAsia="宋体" w:cs="宋体"/>
        <w:b/>
        <w:bCs/>
        <w:spacing w:val="-14"/>
        <w:sz w:val="36"/>
        <w:szCs w:val="36"/>
        <w:lang w:val="en-US" w:eastAsia="zh-CN"/>
      </w:rPr>
    </w:pPr>
    <w:r>
      <w:rPr>
        <w:position w:val="-19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17780</wp:posOffset>
          </wp:positionV>
          <wp:extent cx="1206500" cy="610870"/>
          <wp:effectExtent l="0" t="0" r="12700" b="17780"/>
          <wp:wrapNone/>
          <wp:docPr id="13" name="IM 2" descr="C:/Users/Administrator/Desktop/微信图片_20250605122815.jpg微信图片_202506051228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" descr="C:/Users/Administrator/Desktop/微信图片_20250605122815.jpg微信图片_20250605122815"/>
                  <pic:cNvPicPr/>
                </pic:nvPicPr>
                <pic:blipFill>
                  <a:blip r:embed="rId1"/>
                  <a:srcRect t="15921" b="15921"/>
                  <a:stretch>
                    <a:fillRect/>
                  </a:stretch>
                </pic:blipFill>
                <pic:spPr>
                  <a:xfrm>
                    <a:off x="0" y="0"/>
                    <a:ext cx="1206500" cy="611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egoe UI" w:hAnsi="Segoe UI" w:eastAsia="宋体" w:cs="Segoe UI"/>
        <w:i w:val="0"/>
        <w:iCs w:val="0"/>
        <w:caps w:val="0"/>
        <w:spacing w:val="0"/>
        <w:sz w:val="48"/>
        <w:szCs w:val="48"/>
        <w:shd w:val="clear" w:fill="FFFFFF"/>
      </w:rPr>
      <w:t>བོད་སངས་སི་གནས་གསོག</w:t>
    </w:r>
  </w:p>
  <w:p w14:paraId="0F7491B4">
    <w:pPr>
      <w:pStyle w:val="5"/>
      <w:ind w:firstLine="1334" w:firstLineChars="400"/>
    </w:pPr>
    <w:r>
      <w:rPr>
        <w:rFonts w:ascii="宋体" w:hAnsi="宋体" w:eastAsia="宋体" w:cs="宋体"/>
        <w:b/>
        <w:bCs/>
        <w:spacing w:val="-14"/>
        <w:sz w:val="36"/>
        <w:szCs w:val="36"/>
      </w:rPr>
      <w:t>山之灵旅行</w:t>
    </w:r>
    <w:r>
      <w:rPr>
        <w:rFonts w:hint="eastAsia" w:ascii="黑体" w:hAnsi="黑体" w:eastAsia="宋体" w:cs="黑体"/>
        <w:spacing w:val="8"/>
        <w:lang w:eastAsia="zh-CN"/>
      </w:rPr>
      <w:t>（</w:t>
    </w:r>
    <w:r>
      <w:rPr>
        <w:rFonts w:ascii="黑体" w:hAnsi="黑体" w:eastAsia="宋体" w:cs="黑体"/>
        <w:spacing w:val="8"/>
      </w:rPr>
      <w:t>西藏自治区拉萨市城西区空指路晨曦花园</w:t>
    </w:r>
    <w:r>
      <w:rPr>
        <w:rFonts w:ascii="黑体" w:hAnsi="黑体" w:eastAsia="宋体" w:cs="黑体"/>
        <w:spacing w:val="-23"/>
      </w:rPr>
      <w:t xml:space="preserve"> </w:t>
    </w:r>
    <w:r>
      <w:rPr>
        <w:rFonts w:eastAsia="宋体"/>
        <w:spacing w:val="8"/>
      </w:rPr>
      <w:t xml:space="preserve">602 </w:t>
    </w:r>
    <w:r>
      <w:rPr>
        <w:rFonts w:ascii="黑体" w:hAnsi="黑体" w:eastAsia="宋体" w:cs="黑体"/>
        <w:spacing w:val="8"/>
      </w:rPr>
      <w:t>室</w:t>
    </w:r>
    <w:r>
      <w:rPr>
        <w:rFonts w:hint="eastAsia" w:ascii="黑体" w:hAnsi="黑体" w:eastAsia="宋体" w:cs="黑体"/>
        <w:spacing w:val="8"/>
        <w:lang w:eastAsia="zh-CN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WE0ZWY1NzZlYjU0Zjc1MmRhNWRlMDhhZjg1MDJiMGIifQ=="/>
  </w:docVars>
  <w:rsids>
    <w:rsidRoot w:val="00000000"/>
    <w:rsid w:val="000273CC"/>
    <w:rsid w:val="000C024B"/>
    <w:rsid w:val="06C47189"/>
    <w:rsid w:val="07E129C9"/>
    <w:rsid w:val="0ADF0A36"/>
    <w:rsid w:val="0EFB7A55"/>
    <w:rsid w:val="0F5575B6"/>
    <w:rsid w:val="11B73381"/>
    <w:rsid w:val="16C15493"/>
    <w:rsid w:val="17A04949"/>
    <w:rsid w:val="18077973"/>
    <w:rsid w:val="18E65FBE"/>
    <w:rsid w:val="190D063D"/>
    <w:rsid w:val="1ACD08AB"/>
    <w:rsid w:val="21AB121A"/>
    <w:rsid w:val="225B49EE"/>
    <w:rsid w:val="236A4B2A"/>
    <w:rsid w:val="24561911"/>
    <w:rsid w:val="25A64FDA"/>
    <w:rsid w:val="2726349B"/>
    <w:rsid w:val="2A09258C"/>
    <w:rsid w:val="300921FD"/>
    <w:rsid w:val="323112C7"/>
    <w:rsid w:val="32B83797"/>
    <w:rsid w:val="33B46BD6"/>
    <w:rsid w:val="36DC2791"/>
    <w:rsid w:val="37025FC2"/>
    <w:rsid w:val="3AE72E6B"/>
    <w:rsid w:val="3ED120A7"/>
    <w:rsid w:val="3F973CA2"/>
    <w:rsid w:val="3FB87251"/>
    <w:rsid w:val="45205950"/>
    <w:rsid w:val="456D167D"/>
    <w:rsid w:val="469366B7"/>
    <w:rsid w:val="4B9A2277"/>
    <w:rsid w:val="4DEC7B5D"/>
    <w:rsid w:val="4E482208"/>
    <w:rsid w:val="4E7A6CBB"/>
    <w:rsid w:val="57775F3C"/>
    <w:rsid w:val="5A554E64"/>
    <w:rsid w:val="5DA62661"/>
    <w:rsid w:val="61CB6793"/>
    <w:rsid w:val="641B0DA0"/>
    <w:rsid w:val="67806F5E"/>
    <w:rsid w:val="678A2AD5"/>
    <w:rsid w:val="6C547446"/>
    <w:rsid w:val="6EE83DAF"/>
    <w:rsid w:val="70853FB1"/>
    <w:rsid w:val="718C1D65"/>
    <w:rsid w:val="72215DFA"/>
    <w:rsid w:val="742122D6"/>
    <w:rsid w:val="750A4112"/>
    <w:rsid w:val="755A0747"/>
    <w:rsid w:val="76876CD5"/>
    <w:rsid w:val="7828701F"/>
    <w:rsid w:val="79633BDA"/>
    <w:rsid w:val="7D1C04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5420</Words>
  <Characters>5672</Characters>
  <TotalTime>36</TotalTime>
  <ScaleCrop>false</ScaleCrop>
  <LinksUpToDate>false</LinksUpToDate>
  <CharactersWithSpaces>5828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2025-06-05T17:23:00Z</dcterms:created>
  <dc:creator>zhou!!!</dc:creator>
  <cp:lastModifiedBy>zhou!!!</cp:lastModifiedBy>
  <dcterms:modified xsi:type="dcterms:W3CDTF">2025-10-29T07:53:49Z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2025-06-05T17:23:32Z</vt:filetime>
  </property>
  <property fmtid="{D5CDD505-2E9C-101B-9397-08002B2CF9AE}" pid="4" name="KSOTemplateDocerSaveRecord">
    <vt:lpwstr>eyJoZGlkIjoiZjVlN2E2Yzg1MWU4ODBiY2JlMjA2YTE5OTBjODBjOGMiLCJ1c2VySWQiOiIzMzExOTgxMTEifQ==</vt:lpwstr>
  </property>
  <property fmtid="{D5CDD505-2E9C-101B-9397-08002B2CF9AE}" pid="5" name="KSOProductBuildVer">
    <vt:lpwstr>2052-12.1.0.23125</vt:lpwstr>
  </property>
  <property fmtid="{D5CDD505-2E9C-101B-9397-08002B2CF9AE}" pid="6" name="ICV">
    <vt:lpwstr>292CA747EFCA41A88164BA2846EF2D68_13</vt:lpwstr>
  </property>
</Properties>
</file>