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90A806">
      <w:pPr>
        <w:spacing w:line="240" w:lineRule="auto"/>
        <w:rPr>
          <w:rFonts w:hint="eastAsia" w:ascii="Times New Roman" w:hAnsi="Times New Roman" w:eastAsia="宋体" w:cs="Times New Roman"/>
          <w:b/>
          <w:bCs/>
          <w:sz w:val="44"/>
          <w:szCs w:val="44"/>
          <w:lang w:val="en-US" w:eastAsia="zh-CN"/>
        </w:rPr>
      </w:pPr>
      <w:r>
        <w:pict>
          <v:shape id="_x0000_s1028" o:spid="_x0000_s1028" style="position:absolute;left:0pt;margin-left:-5.9pt;margin-top:13.75pt;height:0.5pt;width:542pt;z-index:251659264;mso-width-relative:page;mso-height-relative:page;" filled="f" stroked="t" coordsize="10840,10" path="m0,4l10840,4e">
            <v:fill on="f" focussize="0,0"/>
            <v:stroke weight="0.48pt" color="#000000" miterlimit="2" joinstyle="bevel"/>
            <v:imagedata o:title=""/>
            <o:lock v:ext="edit"/>
          </v:shape>
        </w:pict>
      </w:r>
    </w:p>
    <w:p w14:paraId="0088D9DB">
      <w:pPr>
        <w:spacing w:line="240" w:lineRule="auto"/>
        <w:ind w:left="0"/>
        <w:jc w:val="center"/>
        <w:outlineLvl w:val="0"/>
        <w:rPr>
          <w:rFonts w:hint="eastAsia" w:ascii="宋体" w:hAnsi="宋体" w:eastAsia="宋体" w:cs="宋体"/>
          <w:b/>
          <w:bCs/>
          <w:spacing w:val="-3"/>
          <w:sz w:val="40"/>
          <w:szCs w:val="40"/>
        </w:rPr>
      </w:pPr>
      <w:r>
        <w:rPr>
          <w:rFonts w:ascii="宋体" w:hAnsi="宋体" w:eastAsia="宋体" w:cs="宋体"/>
          <w:b/>
          <w:bCs/>
          <w:spacing w:val="-3"/>
          <w:sz w:val="40"/>
          <w:szCs w:val="40"/>
        </w:rPr>
        <w:t>山之灵旅行社有限公司</w:t>
      </w:r>
    </w:p>
    <w:p w14:paraId="103AE925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山之灵旅行社创立于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  <w:lang w:val="en-US" w:eastAsia="zh-CN"/>
        </w:rPr>
        <w:t>2010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年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，总部设于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西藏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，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成都、北京、西安等各地均有分部，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是国家文旅部首批核准</w:t>
      </w:r>
      <w:r>
        <w:rPr>
          <w:rFonts w:hint="eastAsia" w:ascii="微软雅黑" w:hAnsi="微软雅黑" w:eastAsia="微软雅黑" w:cs="微软雅黑"/>
          <w:b w:val="0"/>
          <w:bCs w:val="0"/>
          <w:spacing w:val="-2"/>
          <w:sz w:val="21"/>
          <w:szCs w:val="21"/>
        </w:rPr>
        <w:t>的“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外宾A类资质”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入境游企业。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15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年来，公司只专注一件事：把中国西部与东北的极致山河，讲给世界听。</w:t>
      </w:r>
    </w:p>
    <w:p w14:paraId="5B586E55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目前，我们已深耕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四川、西藏、新疆、贵州、云南、哈尔滨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  <w:lang w:val="en-US" w:eastAsia="zh-CN"/>
        </w:rPr>
        <w:t>等热门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黄金目的地，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年接待外宾3.2万人次，累计组织入境团队4,600余团，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0重大事故、0重大投诉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，携程/猫途鹰综合好评率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99.7%。</w:t>
      </w:r>
    </w:p>
    <w:p w14:paraId="2200FE12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资源硬实力</w:t>
      </w:r>
    </w:p>
    <w:p w14:paraId="0103DD39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 xml:space="preserve">  川藏线317/318往返800+趟，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拥有自营车队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；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青藏铁路票源一级代理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，乌鲁木齐—喀什—塔什库尔干段包车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独家审批通道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；新疆独库公路、伊昭公路封/解封信息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官方合作单位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；贵州西江千户苗寨、云南哈尼梯田、哈尔滨冰雪大世界等景区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VIP绿色通道官方授权</w:t>
      </w:r>
    </w:p>
    <w:p w14:paraId="49D203BF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 xml:space="preserve"> 服务软实力</w:t>
      </w:r>
    </w:p>
    <w:p w14:paraId="663DF6BA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 xml:space="preserve">  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136名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全职持证导游，覆盖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英、法、德、西、日五语种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；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24h机场医疗站＋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便携式高压氧舱＋血氧监测手环，高海拔行程全程随行；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餐饮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：米其林餐标＋藏式家宴＋清真现宰现烤全羊，全部使用可追溯食材；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酒店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：直签成都世</w:t>
      </w:r>
      <w:r>
        <w:rPr>
          <w:rFonts w:hint="eastAsia" w:ascii="微软雅黑" w:hAnsi="微软雅黑" w:eastAsia="微软雅黑" w:cs="微软雅黑"/>
          <w:b w:val="0"/>
          <w:bCs w:val="0"/>
          <w:spacing w:val="-2"/>
          <w:sz w:val="21"/>
          <w:szCs w:val="21"/>
        </w:rPr>
        <w:t>纪城天堂洲际、拉萨香格里拉、日喀则松赞、喀纳斯阿尔卡迪亚、哈尔滨敖麓谷雅等38家五星/特色野奢。</w:t>
      </w:r>
    </w:p>
    <w:p w14:paraId="67CE6E6E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主题产品线</w:t>
      </w:r>
    </w:p>
    <w:p w14:paraId="2CBF7472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default" w:ascii="微软雅黑" w:hAnsi="微软雅黑" w:eastAsia="微软雅黑" w:cs="微软雅黑"/>
          <w:spacing w:val="-2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 xml:space="preserve">  四川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(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大熊猫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格聂之眼、九寨黄龙、稻城亚丁)、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西藏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拉萨—珠峰—阿里转山15日、冬季蓝冰桃花摄影团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）、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新疆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北疆蓝冰赛里木湖、南疆帕米尔高原杏花、夏季伊犁薰衣草房车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）、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贵州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苗年节银饰锻造、侗族大歌、FAST天眼天文之旅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）、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云南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哈尼梯田稻作文化、普洱茶庄园沉浸式制茶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）、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哈尔滨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冬季冰雪大世界包场＋亚布力私享雪道＋东北虎监测科研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）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等</w:t>
      </w:r>
    </w:p>
    <w:p w14:paraId="3C6DF457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 w14:paraId="0FF62C94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 w14:paraId="4DC693A2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 w14:paraId="63ECF49D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 w14:paraId="44BFFE6E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 w14:paraId="28B88E09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 w14:paraId="35FFE08F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="0" w:firstLine="392" w:firstLineChars="200"/>
        <w:jc w:val="right"/>
        <w:textAlignment w:val="baseline"/>
        <w:rPr>
          <w:rFonts w:hint="eastAsia" w:ascii="微软雅黑" w:hAnsi="微软雅黑" w:eastAsia="微软雅黑" w:cs="微软雅黑"/>
          <w:spacing w:val="-2"/>
          <w:sz w:val="20"/>
          <w:szCs w:val="20"/>
        </w:rPr>
      </w:pP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公司地址：西藏自治区拉萨市城西区空指路晨曦花园602室</w:t>
      </w:r>
    </w:p>
    <w:p w14:paraId="1904A3A5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="0" w:firstLine="392" w:firstLineChars="200"/>
        <w:jc w:val="right"/>
        <w:textAlignment w:val="baseline"/>
        <w:rPr>
          <w:rFonts w:hint="eastAsia" w:ascii="微软雅黑" w:hAnsi="微软雅黑" w:eastAsia="微软雅黑" w:cs="微软雅黑"/>
          <w:spacing w:val="-2"/>
          <w:sz w:val="20"/>
          <w:szCs w:val="20"/>
        </w:rPr>
      </w:pP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公司官网：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fldChar w:fldCharType="begin"/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instrText xml:space="preserve"> HYPERLINK "https://www.shanzhilingtour.com/" </w:instrTex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fldChar w:fldCharType="separate"/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https: / / www. shanzhilingtour. com/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fldChar w:fldCharType="end"/>
      </w:r>
    </w:p>
    <w:p w14:paraId="2B5FBDA7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="0" w:firstLine="392" w:firstLineChars="200"/>
        <w:jc w:val="right"/>
        <w:textAlignment w:val="baseline"/>
        <w:rPr>
          <w:rFonts w:hint="eastAsia" w:ascii="微软雅黑" w:hAnsi="微软雅黑" w:eastAsia="微软雅黑" w:cs="微软雅黑"/>
          <w:spacing w:val="-2"/>
          <w:sz w:val="20"/>
          <w:szCs w:val="20"/>
        </w:rPr>
      </w:pP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联系电话：+8618380448353</w:t>
      </w:r>
    </w:p>
    <w:p w14:paraId="7E27965C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="0" w:firstLine="392" w:firstLineChars="200"/>
        <w:jc w:val="right"/>
        <w:textAlignment w:val="baseline"/>
        <w:rPr>
          <w:rFonts w:hint="eastAsia" w:ascii="微软雅黑" w:hAnsi="微软雅黑" w:eastAsia="微软雅黑" w:cs="微软雅黑"/>
          <w:spacing w:val="-2"/>
          <w:sz w:val="20"/>
          <w:szCs w:val="20"/>
        </w:rPr>
      </w:pP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 xml:space="preserve">Email：shanzhilingtravel@ gmail. </w:t>
      </w:r>
      <w:r>
        <w:rPr>
          <w:rFonts w:hint="eastAsia" w:ascii="微软雅黑" w:hAnsi="微软雅黑" w:eastAsia="宋体" w:cs="微软雅黑"/>
          <w:spacing w:val="-2"/>
          <w:sz w:val="20"/>
          <w:szCs w:val="20"/>
          <w:lang w:val="en-US" w:eastAsia="zh-CN"/>
        </w:rPr>
        <w:t>c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om</w:t>
      </w:r>
    </w:p>
    <w:p w14:paraId="57F4C5FE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firstLine="2744" w:firstLineChars="1400"/>
        <w:textAlignment w:val="baseline"/>
        <w:rPr>
          <w:rFonts w:hint="eastAsia" w:ascii="Times New Roman" w:hAnsi="Times New Roman" w:eastAsia="宋体" w:cs="Times New Roman"/>
          <w:b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微信:15718067437  / Line: szl2010  /</w:t>
      </w:r>
      <w:r>
        <w:rPr>
          <w:rFonts w:hint="eastAsia" w:ascii="微软雅黑" w:hAnsi="微软雅黑" w:eastAsia="微软雅黑" w:cs="微软雅黑"/>
          <w:spacing w:val="-2"/>
          <w:sz w:val="22"/>
          <w:szCs w:val="22"/>
        </w:rPr>
        <w:t xml:space="preserve"> 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WhatsApp: +86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1838448353</w:t>
      </w:r>
    </w:p>
    <w:p w14:paraId="6EE4B1F1">
      <w:pPr>
        <w:spacing w:line="243" w:lineRule="auto"/>
        <w:jc w:val="left"/>
        <w:rPr>
          <w:rFonts w:hint="default" w:ascii="Times New Roman" w:hAnsi="Times New Roman" w:eastAsia="宋体" w:cs="Times New Roman"/>
          <w:b/>
          <w:bCs/>
          <w:sz w:val="44"/>
          <w:szCs w:val="4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44"/>
          <w:szCs w:val="44"/>
          <w:lang w:val="en-US" w:eastAsia="zh-CN"/>
        </w:rPr>
        <w:t>新疆目的地简易行程</w:t>
      </w:r>
      <w:r>
        <w:rPr>
          <w:rFonts w:hint="eastAsia" w:ascii="Times New Roman" w:hAnsi="Times New Roman" w:eastAsia="宋体" w:cs="Times New Roman"/>
          <w:b/>
          <w:bCs/>
          <w:sz w:val="22"/>
          <w:szCs w:val="22"/>
          <w:lang w:val="en-US" w:eastAsia="zh-CN"/>
        </w:rPr>
        <w:t>（如果需要详细行程，请联系客服）</w:t>
      </w:r>
    </w:p>
    <w:tbl>
      <w:tblPr>
        <w:tblStyle w:val="7"/>
        <w:tblpPr w:leftFromText="180" w:rightFromText="180" w:vertAnchor="text" w:horzAnchor="page" w:tblpX="667" w:tblpY="223"/>
        <w:tblOverlap w:val="never"/>
        <w:tblW w:w="106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5412"/>
        <w:gridCol w:w="1705"/>
        <w:gridCol w:w="2747"/>
      </w:tblGrid>
      <w:tr w14:paraId="0AAC1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835" w:type="dxa"/>
            <w:vAlign w:val="center"/>
          </w:tcPr>
          <w:p w14:paraId="35DF6EC9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宋体" w:cs="微软雅黑"/>
                <w:sz w:val="28"/>
                <w:szCs w:val="28"/>
                <w:vertAlign w:val="baseline"/>
                <w:lang w:val="en-US" w:eastAsia="zh-CN"/>
              </w:rPr>
              <w:t>日期</w:t>
            </w:r>
          </w:p>
        </w:tc>
        <w:tc>
          <w:tcPr>
            <w:tcW w:w="5412" w:type="dxa"/>
            <w:vAlign w:val="center"/>
          </w:tcPr>
          <w:p w14:paraId="4B9C8232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宋体" w:cs="微软雅黑"/>
                <w:sz w:val="28"/>
                <w:szCs w:val="28"/>
                <w:vertAlign w:val="baseline"/>
                <w:lang w:val="en-US" w:eastAsia="zh-CN"/>
              </w:rPr>
              <w:t>行程</w:t>
            </w:r>
          </w:p>
        </w:tc>
        <w:tc>
          <w:tcPr>
            <w:tcW w:w="1705" w:type="dxa"/>
            <w:vAlign w:val="center"/>
          </w:tcPr>
          <w:p w14:paraId="3AB28353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宋体" w:cs="微软雅黑"/>
                <w:sz w:val="28"/>
                <w:szCs w:val="28"/>
                <w:vertAlign w:val="baseline"/>
                <w:lang w:val="en-US" w:eastAsia="zh-CN"/>
              </w:rPr>
              <w:t>酒店</w:t>
            </w:r>
          </w:p>
        </w:tc>
        <w:tc>
          <w:tcPr>
            <w:tcW w:w="2747" w:type="dxa"/>
            <w:vAlign w:val="center"/>
          </w:tcPr>
          <w:p w14:paraId="09FF9995">
            <w:pPr>
              <w:widowControl w:val="0"/>
              <w:spacing w:line="244" w:lineRule="auto"/>
              <w:jc w:val="center"/>
              <w:rPr>
                <w:rFonts w:hint="default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宋体" w:cs="微软雅黑"/>
                <w:sz w:val="28"/>
                <w:szCs w:val="28"/>
                <w:vertAlign w:val="baseline"/>
                <w:lang w:val="en-US" w:eastAsia="zh-CN"/>
              </w:rPr>
              <w:t>公里数及海拔</w:t>
            </w:r>
          </w:p>
        </w:tc>
      </w:tr>
      <w:tr w14:paraId="04178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2BCFDC48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bookmarkStart w:id="0" w:name="OLE_LINK22" w:colFirst="4" w:colLast="4"/>
            <w:bookmarkStart w:id="1" w:name="OLE_LINK23" w:colFirst="1" w:colLast="1"/>
            <w:bookmarkStart w:id="2" w:name="OLE_LINK18" w:colFirst="0" w:colLast="3"/>
            <w:bookmarkStart w:id="3" w:name="OLE_LINK19" w:colFirst="0" w:colLast="1"/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D1</w:t>
            </w:r>
          </w:p>
        </w:tc>
        <w:tc>
          <w:tcPr>
            <w:tcW w:w="5412" w:type="dxa"/>
            <w:vAlign w:val="center"/>
          </w:tcPr>
          <w:p w14:paraId="1C52D3AA">
            <w:pPr>
              <w:widowControl w:val="0"/>
              <w:jc w:val="left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出发地-乌鲁木齐 (接机)</w:t>
            </w:r>
          </w:p>
        </w:tc>
        <w:tc>
          <w:tcPr>
            <w:tcW w:w="1705" w:type="dxa"/>
            <w:vAlign w:val="center"/>
          </w:tcPr>
          <w:p w14:paraId="4A1B8770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5C920718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30km</w:t>
            </w:r>
          </w:p>
        </w:tc>
      </w:tr>
      <w:tr w14:paraId="244C3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05C2AE0F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D2</w:t>
            </w:r>
          </w:p>
        </w:tc>
        <w:tc>
          <w:tcPr>
            <w:tcW w:w="5412" w:type="dxa"/>
            <w:vAlign w:val="center"/>
          </w:tcPr>
          <w:p w14:paraId="1DDFCEE4">
            <w:pPr>
              <w:widowControl w:val="0"/>
              <w:jc w:val="left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乌鲁木齐-S21沙漠公路-途经乌伦古湖-布尔津/阿勒泰</w:t>
            </w:r>
          </w:p>
        </w:tc>
        <w:tc>
          <w:tcPr>
            <w:tcW w:w="1705" w:type="dxa"/>
            <w:vAlign w:val="center"/>
          </w:tcPr>
          <w:p w14:paraId="086D820F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5DC35E76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680km</w:t>
            </w:r>
          </w:p>
        </w:tc>
      </w:tr>
      <w:tr w14:paraId="45730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6FD351E0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D3</w:t>
            </w:r>
          </w:p>
        </w:tc>
        <w:tc>
          <w:tcPr>
            <w:tcW w:w="5412" w:type="dxa"/>
            <w:vAlign w:val="center"/>
          </w:tcPr>
          <w:p w14:paraId="3047C5A3">
            <w:pPr>
              <w:widowControl w:val="0"/>
              <w:jc w:val="left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布尔津/阿勒泰-阿禾公路（若开放）-禾木</w:t>
            </w:r>
          </w:p>
        </w:tc>
        <w:tc>
          <w:tcPr>
            <w:tcW w:w="1705" w:type="dxa"/>
            <w:vAlign w:val="center"/>
          </w:tcPr>
          <w:p w14:paraId="169DC433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05FED52A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200km</w:t>
            </w:r>
          </w:p>
        </w:tc>
      </w:tr>
      <w:tr w14:paraId="1D036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37F709CD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D4</w:t>
            </w:r>
          </w:p>
        </w:tc>
        <w:tc>
          <w:tcPr>
            <w:tcW w:w="5412" w:type="dxa"/>
            <w:vAlign w:val="center"/>
          </w:tcPr>
          <w:p w14:paraId="333FCC37">
            <w:pPr>
              <w:widowControl w:val="0"/>
              <w:jc w:val="left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贾登峪/禾木-喀纳斯湖边漫步-布尔津</w:t>
            </w:r>
          </w:p>
        </w:tc>
        <w:tc>
          <w:tcPr>
            <w:tcW w:w="1705" w:type="dxa"/>
            <w:vAlign w:val="center"/>
          </w:tcPr>
          <w:p w14:paraId="33555C56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6587854C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210km</w:t>
            </w:r>
          </w:p>
        </w:tc>
      </w:tr>
      <w:tr w14:paraId="6ED61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4A31986E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D5</w:t>
            </w:r>
          </w:p>
        </w:tc>
        <w:tc>
          <w:tcPr>
            <w:tcW w:w="5412" w:type="dxa"/>
            <w:vAlign w:val="center"/>
          </w:tcPr>
          <w:p w14:paraId="3E48FA5B">
            <w:pPr>
              <w:widowControl w:val="0"/>
              <w:jc w:val="left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布尔津-五彩滩-乌尔禾</w:t>
            </w:r>
          </w:p>
        </w:tc>
        <w:tc>
          <w:tcPr>
            <w:tcW w:w="1705" w:type="dxa"/>
            <w:vAlign w:val="center"/>
          </w:tcPr>
          <w:p w14:paraId="35D5CE27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2C160F15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250km</w:t>
            </w:r>
          </w:p>
        </w:tc>
      </w:tr>
      <w:tr w14:paraId="05104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5A9FCF75"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D6</w:t>
            </w:r>
          </w:p>
        </w:tc>
        <w:tc>
          <w:tcPr>
            <w:tcW w:w="5412" w:type="dxa"/>
            <w:vAlign w:val="center"/>
          </w:tcPr>
          <w:p w14:paraId="2B08E5F6">
            <w:pPr>
              <w:widowControl w:val="0"/>
              <w:jc w:val="left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乌尔禾-魔鬼城-乌鲁木齐</w:t>
            </w:r>
          </w:p>
        </w:tc>
        <w:tc>
          <w:tcPr>
            <w:tcW w:w="1705" w:type="dxa"/>
            <w:vAlign w:val="center"/>
          </w:tcPr>
          <w:p w14:paraId="592AAB65"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429C2003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410km</w:t>
            </w:r>
          </w:p>
        </w:tc>
      </w:tr>
      <w:tr w14:paraId="0D161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73971BA9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D7</w:t>
            </w:r>
          </w:p>
        </w:tc>
        <w:tc>
          <w:tcPr>
            <w:tcW w:w="5412" w:type="dxa"/>
            <w:vAlign w:val="center"/>
          </w:tcPr>
          <w:p w14:paraId="7A1897F1">
            <w:pPr>
              <w:widowControl w:val="0"/>
              <w:jc w:val="left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乌鲁木齐-各地 (送机)</w:t>
            </w:r>
          </w:p>
        </w:tc>
        <w:tc>
          <w:tcPr>
            <w:tcW w:w="1705" w:type="dxa"/>
            <w:vAlign w:val="center"/>
          </w:tcPr>
          <w:p w14:paraId="74E3C48D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37758747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30km</w:t>
            </w:r>
          </w:p>
        </w:tc>
      </w:tr>
      <w:bookmarkEnd w:id="0"/>
      <w:bookmarkEnd w:id="1"/>
      <w:bookmarkEnd w:id="2"/>
      <w:bookmarkEnd w:id="3"/>
    </w:tbl>
    <w:p w14:paraId="4E8DB586">
      <w:pPr>
        <w:spacing w:line="244" w:lineRule="auto"/>
        <w:jc w:val="center"/>
        <w:rPr>
          <w:rFonts w:ascii="Arial"/>
          <w:sz w:val="21"/>
        </w:rPr>
      </w:pPr>
    </w:p>
    <w:p w14:paraId="6F588B85">
      <w:pPr>
        <w:spacing w:line="244" w:lineRule="auto"/>
        <w:jc w:val="center"/>
        <w:rPr>
          <w:rFonts w:ascii="Arial"/>
          <w:sz w:val="21"/>
        </w:rPr>
      </w:pPr>
    </w:p>
    <w:p w14:paraId="6AF7DABF">
      <w:pPr>
        <w:spacing w:line="244" w:lineRule="auto"/>
        <w:jc w:val="center"/>
        <w:rPr>
          <w:rFonts w:ascii="Arial"/>
          <w:sz w:val="21"/>
        </w:rPr>
      </w:pPr>
    </w:p>
    <w:p w14:paraId="2AB05501">
      <w:pPr>
        <w:spacing w:line="244" w:lineRule="auto"/>
        <w:jc w:val="center"/>
        <w:rPr>
          <w:rFonts w:ascii="Arial"/>
          <w:sz w:val="21"/>
        </w:rPr>
      </w:pPr>
    </w:p>
    <w:p w14:paraId="1A272533">
      <w:pPr>
        <w:spacing w:line="244" w:lineRule="auto"/>
        <w:jc w:val="center"/>
        <w:rPr>
          <w:rFonts w:ascii="Arial"/>
          <w:sz w:val="21"/>
        </w:rPr>
      </w:pPr>
    </w:p>
    <w:p w14:paraId="697372FA">
      <w:pPr>
        <w:spacing w:line="244" w:lineRule="auto"/>
        <w:jc w:val="center"/>
        <w:rPr>
          <w:rFonts w:ascii="Arial"/>
          <w:sz w:val="21"/>
        </w:rPr>
      </w:pPr>
    </w:p>
    <w:p w14:paraId="5CF587BA">
      <w:pPr>
        <w:spacing w:line="244" w:lineRule="auto"/>
        <w:jc w:val="center"/>
        <w:rPr>
          <w:rFonts w:ascii="Arial"/>
          <w:sz w:val="21"/>
        </w:rPr>
      </w:pPr>
    </w:p>
    <w:p w14:paraId="66EDA8E1">
      <w:pPr>
        <w:spacing w:line="244" w:lineRule="auto"/>
        <w:jc w:val="center"/>
        <w:rPr>
          <w:rFonts w:ascii="Arial"/>
          <w:sz w:val="21"/>
        </w:rPr>
      </w:pPr>
    </w:p>
    <w:p w14:paraId="52B14CA2">
      <w:pPr>
        <w:spacing w:line="244" w:lineRule="auto"/>
        <w:jc w:val="center"/>
        <w:rPr>
          <w:rFonts w:ascii="Arial"/>
          <w:sz w:val="21"/>
        </w:rPr>
      </w:pPr>
    </w:p>
    <w:p w14:paraId="061C8092">
      <w:pPr>
        <w:spacing w:line="244" w:lineRule="auto"/>
        <w:jc w:val="center"/>
        <w:rPr>
          <w:rFonts w:ascii="Arial"/>
          <w:sz w:val="21"/>
        </w:rPr>
      </w:pPr>
    </w:p>
    <w:p w14:paraId="7C1287EC">
      <w:pPr>
        <w:spacing w:line="244" w:lineRule="auto"/>
        <w:jc w:val="center"/>
        <w:rPr>
          <w:rFonts w:ascii="Arial"/>
          <w:sz w:val="21"/>
        </w:rPr>
      </w:pPr>
    </w:p>
    <w:p w14:paraId="5000DEED">
      <w:pPr>
        <w:spacing w:line="244" w:lineRule="auto"/>
        <w:jc w:val="center"/>
        <w:rPr>
          <w:rFonts w:ascii="Arial"/>
          <w:sz w:val="21"/>
        </w:rPr>
      </w:pPr>
    </w:p>
    <w:p w14:paraId="756051C5">
      <w:pPr>
        <w:spacing w:line="244" w:lineRule="auto"/>
        <w:jc w:val="center"/>
        <w:rPr>
          <w:rFonts w:ascii="Arial"/>
          <w:sz w:val="21"/>
        </w:rPr>
      </w:pPr>
    </w:p>
    <w:p w14:paraId="6C1E8515">
      <w:pPr>
        <w:spacing w:line="244" w:lineRule="auto"/>
        <w:jc w:val="center"/>
        <w:rPr>
          <w:rFonts w:ascii="Arial"/>
          <w:sz w:val="21"/>
        </w:rPr>
      </w:pPr>
    </w:p>
    <w:p w14:paraId="5993AE3B">
      <w:pPr>
        <w:spacing w:line="244" w:lineRule="auto"/>
        <w:jc w:val="center"/>
        <w:rPr>
          <w:rFonts w:ascii="Arial"/>
          <w:sz w:val="21"/>
        </w:rPr>
      </w:pPr>
    </w:p>
    <w:p w14:paraId="74C2543E">
      <w:pPr>
        <w:spacing w:line="244" w:lineRule="auto"/>
        <w:jc w:val="center"/>
        <w:rPr>
          <w:rFonts w:ascii="Arial"/>
          <w:sz w:val="21"/>
        </w:rPr>
      </w:pPr>
    </w:p>
    <w:p w14:paraId="52552579">
      <w:pPr>
        <w:spacing w:line="244" w:lineRule="auto"/>
        <w:jc w:val="center"/>
        <w:rPr>
          <w:rFonts w:ascii="Arial"/>
          <w:sz w:val="21"/>
        </w:rPr>
      </w:pPr>
    </w:p>
    <w:p w14:paraId="05E70B6B">
      <w:pPr>
        <w:spacing w:line="244" w:lineRule="auto"/>
        <w:jc w:val="center"/>
        <w:rPr>
          <w:rFonts w:ascii="Arial"/>
          <w:sz w:val="21"/>
        </w:rPr>
      </w:pPr>
    </w:p>
    <w:p w14:paraId="62F06072">
      <w:pPr>
        <w:spacing w:line="244" w:lineRule="auto"/>
        <w:jc w:val="center"/>
        <w:rPr>
          <w:rFonts w:ascii="Arial"/>
          <w:sz w:val="21"/>
        </w:rPr>
      </w:pPr>
    </w:p>
    <w:p w14:paraId="19B61AB3">
      <w:pPr>
        <w:spacing w:line="244" w:lineRule="auto"/>
        <w:jc w:val="center"/>
        <w:rPr>
          <w:rFonts w:ascii="Arial"/>
          <w:sz w:val="21"/>
        </w:rPr>
      </w:pPr>
    </w:p>
    <w:p w14:paraId="5D29C068">
      <w:pPr>
        <w:spacing w:line="244" w:lineRule="auto"/>
        <w:jc w:val="center"/>
        <w:rPr>
          <w:rFonts w:ascii="Arial"/>
          <w:sz w:val="21"/>
        </w:rPr>
      </w:pPr>
    </w:p>
    <w:p w14:paraId="33C6AD40">
      <w:pPr>
        <w:spacing w:line="244" w:lineRule="auto"/>
        <w:rPr>
          <w:rFonts w:ascii="Arial"/>
          <w:sz w:val="21"/>
        </w:rPr>
      </w:pPr>
    </w:p>
    <w:p w14:paraId="265710EE">
      <w:pPr>
        <w:spacing w:line="244" w:lineRule="auto"/>
        <w:rPr>
          <w:rFonts w:ascii="Arial"/>
          <w:sz w:val="21"/>
        </w:rPr>
      </w:pPr>
    </w:p>
    <w:p w14:paraId="14600CA9">
      <w:pPr>
        <w:pStyle w:val="3"/>
        <w:spacing w:before="238" w:line="213" w:lineRule="auto"/>
        <w:rPr>
          <w:rFonts w:ascii="Arial"/>
          <w:sz w:val="21"/>
        </w:rPr>
      </w:pPr>
      <w:r>
        <w:rPr>
          <w:rFonts w:hint="eastAsia" w:ascii="微软雅黑" w:hAnsi="微软雅黑" w:eastAsia="宋体" w:cs="微软雅黑"/>
          <w:b/>
          <w:bCs/>
          <w:spacing w:val="-1"/>
          <w:sz w:val="32"/>
          <w:szCs w:val="32"/>
          <w:lang w:val="en-US" w:eastAsia="zh-CN"/>
        </w:rPr>
        <w:t>费用说明</w:t>
      </w:r>
    </w:p>
    <w:tbl>
      <w:tblPr>
        <w:tblStyle w:val="7"/>
        <w:tblpPr w:leftFromText="180" w:rightFromText="180" w:vertAnchor="text" w:horzAnchor="page" w:tblpX="1068" w:tblpY="246"/>
        <w:tblOverlap w:val="never"/>
        <w:tblW w:w="102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2"/>
        <w:gridCol w:w="1927"/>
        <w:gridCol w:w="2059"/>
        <w:gridCol w:w="2059"/>
        <w:gridCol w:w="2060"/>
      </w:tblGrid>
      <w:tr w14:paraId="099DF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192" w:type="dxa"/>
            <w:vAlign w:val="center"/>
          </w:tcPr>
          <w:p w14:paraId="3AD927BF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宋体" w:cs="微软雅黑"/>
                <w:sz w:val="21"/>
                <w:vertAlign w:val="baseline"/>
                <w:lang w:val="en-US" w:eastAsia="zh-CN"/>
              </w:rPr>
              <w:t>日期</w:t>
            </w:r>
          </w:p>
        </w:tc>
        <w:tc>
          <w:tcPr>
            <w:tcW w:w="1927" w:type="dxa"/>
            <w:vAlign w:val="center"/>
          </w:tcPr>
          <w:p w14:paraId="158FCFF2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宋体" w:cs="微软雅黑"/>
                <w:sz w:val="21"/>
                <w:vertAlign w:val="baseline"/>
                <w:lang w:val="en-US" w:eastAsia="zh-CN"/>
              </w:rPr>
              <w:t>人数</w:t>
            </w:r>
          </w:p>
        </w:tc>
        <w:tc>
          <w:tcPr>
            <w:tcW w:w="2059" w:type="dxa"/>
            <w:vAlign w:val="center"/>
          </w:tcPr>
          <w:p w14:paraId="60286F38">
            <w:pPr>
              <w:widowControl w:val="0"/>
              <w:spacing w:line="244" w:lineRule="auto"/>
              <w:jc w:val="center"/>
              <w:rPr>
                <w:rFonts w:hint="default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宋体" w:cs="微软雅黑"/>
                <w:sz w:val="21"/>
                <w:vertAlign w:val="baseline"/>
                <w:lang w:val="en-US" w:eastAsia="zh-CN"/>
              </w:rPr>
              <w:t>出发地</w:t>
            </w:r>
          </w:p>
        </w:tc>
        <w:tc>
          <w:tcPr>
            <w:tcW w:w="2059" w:type="dxa"/>
            <w:vAlign w:val="center"/>
          </w:tcPr>
          <w:p w14:paraId="13E5CE15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宋体" w:cs="微软雅黑"/>
                <w:snapToGrid w:val="0"/>
                <w:color w:val="000000"/>
                <w:kern w:val="0"/>
                <w:sz w:val="21"/>
                <w:szCs w:val="21"/>
                <w:vertAlign w:val="baseline"/>
                <w:lang w:val="en-US" w:eastAsia="zh-CN" w:bidi="ar-SA"/>
              </w:rPr>
              <w:t>车辆</w:t>
            </w:r>
          </w:p>
        </w:tc>
        <w:tc>
          <w:tcPr>
            <w:tcW w:w="2060" w:type="dxa"/>
            <w:vAlign w:val="center"/>
          </w:tcPr>
          <w:p w14:paraId="7FF7EC0D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宋体" w:cs="微软雅黑"/>
                <w:b/>
                <w:bCs/>
                <w:sz w:val="22"/>
                <w:szCs w:val="22"/>
                <w:vertAlign w:val="baseline"/>
                <w:lang w:val="en-US" w:eastAsia="zh-CN"/>
              </w:rPr>
              <w:t>价格 / 人（人民币）</w:t>
            </w:r>
          </w:p>
        </w:tc>
      </w:tr>
      <w:tr w14:paraId="1069C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192" w:type="dxa"/>
            <w:vAlign w:val="center"/>
          </w:tcPr>
          <w:p w14:paraId="0C7A3028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</w:p>
        </w:tc>
        <w:tc>
          <w:tcPr>
            <w:tcW w:w="1927" w:type="dxa"/>
            <w:vAlign w:val="center"/>
          </w:tcPr>
          <w:p w14:paraId="2EE5D36C">
            <w:pPr>
              <w:widowControl w:val="0"/>
              <w:jc w:val="both"/>
              <w:rPr>
                <w:rFonts w:hint="default" w:ascii="微软雅黑" w:hAnsi="微软雅黑" w:eastAsia="微软雅黑" w:cs="微软雅黑"/>
                <w:lang w:val="en-US" w:eastAsia="zh-CN"/>
              </w:rPr>
            </w:pPr>
          </w:p>
        </w:tc>
        <w:tc>
          <w:tcPr>
            <w:tcW w:w="2059" w:type="dxa"/>
            <w:vAlign w:val="center"/>
          </w:tcPr>
          <w:p w14:paraId="5C5E2658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</w:p>
        </w:tc>
        <w:tc>
          <w:tcPr>
            <w:tcW w:w="2059" w:type="dxa"/>
            <w:vAlign w:val="center"/>
          </w:tcPr>
          <w:p w14:paraId="2AFC389A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</w:p>
        </w:tc>
        <w:tc>
          <w:tcPr>
            <w:tcW w:w="2060" w:type="dxa"/>
            <w:vAlign w:val="center"/>
          </w:tcPr>
          <w:p w14:paraId="58A3DA07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</w:p>
        </w:tc>
      </w:tr>
    </w:tbl>
    <w:p w14:paraId="0ED25E57">
      <w:pPr>
        <w:spacing w:line="244" w:lineRule="auto"/>
        <w:rPr>
          <w:rFonts w:ascii="Arial"/>
          <w:sz w:val="21"/>
        </w:rPr>
      </w:pPr>
    </w:p>
    <w:tbl>
      <w:tblPr>
        <w:tblStyle w:val="7"/>
        <w:tblpPr w:leftFromText="180" w:rightFromText="180" w:vertAnchor="text" w:horzAnchor="page" w:tblpX="1075" w:tblpY="49"/>
        <w:tblOverlap w:val="never"/>
        <w:tblW w:w="103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1632"/>
        <w:gridCol w:w="2987"/>
        <w:gridCol w:w="912"/>
        <w:gridCol w:w="1141"/>
        <w:gridCol w:w="3097"/>
      </w:tblGrid>
      <w:tr w14:paraId="4BE79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5150" w:type="dxa"/>
            <w:gridSpan w:val="3"/>
            <w:vAlign w:val="center"/>
          </w:tcPr>
          <w:p w14:paraId="006F9CAA">
            <w:pPr>
              <w:widowControl w:val="0"/>
              <w:spacing w:line="244" w:lineRule="auto"/>
              <w:jc w:val="center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2"/>
                <w:szCs w:val="22"/>
                <w:vertAlign w:val="baseline"/>
                <w:lang w:val="en-US" w:eastAsia="zh-CN"/>
              </w:rPr>
              <w:t>费用包含</w:t>
            </w:r>
          </w:p>
        </w:tc>
        <w:tc>
          <w:tcPr>
            <w:tcW w:w="5150" w:type="dxa"/>
            <w:gridSpan w:val="3"/>
            <w:vAlign w:val="center"/>
          </w:tcPr>
          <w:p w14:paraId="25C78BDC">
            <w:pPr>
              <w:widowControl w:val="0"/>
              <w:spacing w:line="244" w:lineRule="auto"/>
              <w:jc w:val="center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2"/>
                <w:szCs w:val="22"/>
                <w:vertAlign w:val="baseline"/>
                <w:lang w:val="en-US" w:eastAsia="zh-CN"/>
              </w:rPr>
              <w:t>费用不包含</w:t>
            </w:r>
          </w:p>
        </w:tc>
      </w:tr>
      <w:tr w14:paraId="07898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9" w:hRule="atLeast"/>
        </w:trPr>
        <w:tc>
          <w:tcPr>
            <w:tcW w:w="531" w:type="dxa"/>
            <w:vAlign w:val="center"/>
          </w:tcPr>
          <w:p w14:paraId="1E235BD2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632" w:type="dxa"/>
            <w:vAlign w:val="center"/>
          </w:tcPr>
          <w:p w14:paraId="2110930A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交通安排</w:t>
            </w:r>
          </w:p>
        </w:tc>
        <w:tc>
          <w:tcPr>
            <w:tcW w:w="2987" w:type="dxa"/>
            <w:vAlign w:val="center"/>
          </w:tcPr>
          <w:p w14:paraId="64FF71AC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XXX车</w:t>
            </w:r>
          </w:p>
        </w:tc>
        <w:tc>
          <w:tcPr>
            <w:tcW w:w="912" w:type="dxa"/>
            <w:vAlign w:val="center"/>
          </w:tcPr>
          <w:p w14:paraId="653F1EEE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41" w:type="dxa"/>
            <w:vAlign w:val="center"/>
          </w:tcPr>
          <w:p w14:paraId="59055F8E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3"/>
              </w:rPr>
              <w:t>房损</w:t>
            </w:r>
          </w:p>
        </w:tc>
        <w:tc>
          <w:tcPr>
            <w:tcW w:w="3097" w:type="dxa"/>
            <w:vAlign w:val="center"/>
          </w:tcPr>
          <w:p w14:paraId="02E44A61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3"/>
              </w:rPr>
              <w:t>由于全款订房，行程中途变动产生的房费自理</w:t>
            </w:r>
          </w:p>
        </w:tc>
      </w:tr>
      <w:tr w14:paraId="66749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531" w:type="dxa"/>
            <w:vAlign w:val="center"/>
          </w:tcPr>
          <w:p w14:paraId="3F9FF0B2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632" w:type="dxa"/>
            <w:vAlign w:val="center"/>
          </w:tcPr>
          <w:p w14:paraId="0E661973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导游安排</w:t>
            </w:r>
          </w:p>
        </w:tc>
        <w:tc>
          <w:tcPr>
            <w:tcW w:w="2987" w:type="dxa"/>
            <w:vAlign w:val="center"/>
          </w:tcPr>
          <w:p w14:paraId="3489CAFE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XXX导游</w:t>
            </w:r>
          </w:p>
        </w:tc>
        <w:tc>
          <w:tcPr>
            <w:tcW w:w="912" w:type="dxa"/>
            <w:vAlign w:val="center"/>
          </w:tcPr>
          <w:p w14:paraId="20655D83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41" w:type="dxa"/>
            <w:vAlign w:val="center"/>
          </w:tcPr>
          <w:p w14:paraId="15ED6FE6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单房差</w:t>
            </w:r>
          </w:p>
        </w:tc>
        <w:tc>
          <w:tcPr>
            <w:tcW w:w="3097" w:type="dxa"/>
            <w:vAlign w:val="center"/>
          </w:tcPr>
          <w:p w14:paraId="44B3B8E6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酒店默认2人一间房（多人间除外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），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如住单间 ，须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另外补齐单房差（</w:t>
            </w:r>
            <w:r>
              <w:rPr>
                <w:rFonts w:hint="eastAsia" w:ascii="微软雅黑" w:hAnsi="微软雅黑" w:eastAsia="微软雅黑" w:cs="微软雅黑"/>
              </w:rPr>
              <w:t>XXX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元）</w:t>
            </w:r>
          </w:p>
        </w:tc>
      </w:tr>
      <w:tr w14:paraId="07234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531" w:type="dxa"/>
            <w:vAlign w:val="center"/>
          </w:tcPr>
          <w:p w14:paraId="4DD125E5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632" w:type="dxa"/>
            <w:vAlign w:val="center"/>
          </w:tcPr>
          <w:p w14:paraId="4E4BC947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酒店安排</w:t>
            </w:r>
          </w:p>
        </w:tc>
        <w:tc>
          <w:tcPr>
            <w:tcW w:w="2987" w:type="dxa"/>
            <w:vAlign w:val="center"/>
          </w:tcPr>
          <w:p w14:paraId="31A1397F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3/4/5星酒店</w:t>
            </w:r>
          </w:p>
        </w:tc>
        <w:tc>
          <w:tcPr>
            <w:tcW w:w="912" w:type="dxa"/>
            <w:vAlign w:val="center"/>
          </w:tcPr>
          <w:p w14:paraId="103947D4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141" w:type="dxa"/>
            <w:vAlign w:val="center"/>
          </w:tcPr>
          <w:p w14:paraId="7075C2CB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个人消费</w:t>
            </w:r>
          </w:p>
        </w:tc>
        <w:tc>
          <w:tcPr>
            <w:tcW w:w="3097" w:type="dxa"/>
            <w:vAlign w:val="center"/>
          </w:tcPr>
          <w:p w14:paraId="6F2A4A47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酒店内洗衣</w:t>
            </w:r>
            <w:r>
              <w:rPr>
                <w:rFonts w:hint="eastAsia" w:ascii="微软雅黑" w:hAnsi="微软雅黑" w:eastAsia="微软雅黑" w:cs="微软雅黑"/>
                <w:spacing w:val="-8"/>
              </w:rPr>
              <w:t>、电话 、传真</w:t>
            </w:r>
            <w:r>
              <w:rPr>
                <w:rFonts w:hint="eastAsia" w:ascii="微软雅黑" w:hAnsi="微软雅黑" w:eastAsia="微软雅黑" w:cs="微软雅黑"/>
                <w:spacing w:val="-8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8"/>
              </w:rPr>
              <w:t>、收费电视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8"/>
              </w:rPr>
              <w:t>、饮料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8"/>
              </w:rPr>
              <w:t>、零食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8"/>
              </w:rPr>
              <w:t>、烟酒等其他个人消费</w:t>
            </w:r>
          </w:p>
        </w:tc>
      </w:tr>
      <w:tr w14:paraId="5B127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531" w:type="dxa"/>
            <w:vAlign w:val="center"/>
          </w:tcPr>
          <w:p w14:paraId="35F28632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632" w:type="dxa"/>
            <w:vAlign w:val="center"/>
          </w:tcPr>
          <w:p w14:paraId="1AB84B61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餐食安排</w:t>
            </w:r>
          </w:p>
        </w:tc>
        <w:tc>
          <w:tcPr>
            <w:tcW w:w="2987" w:type="dxa"/>
            <w:vAlign w:val="center"/>
          </w:tcPr>
          <w:p w14:paraId="43B0A356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几顿早餐/几顿晚餐</w:t>
            </w:r>
          </w:p>
        </w:tc>
        <w:tc>
          <w:tcPr>
            <w:tcW w:w="912" w:type="dxa"/>
            <w:vAlign w:val="center"/>
          </w:tcPr>
          <w:p w14:paraId="437694EA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141" w:type="dxa"/>
            <w:vAlign w:val="center"/>
          </w:tcPr>
          <w:p w14:paraId="0878F92B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意外情况</w:t>
            </w:r>
          </w:p>
        </w:tc>
        <w:tc>
          <w:tcPr>
            <w:tcW w:w="3097" w:type="dxa"/>
            <w:vAlign w:val="center"/>
          </w:tcPr>
          <w:p w14:paraId="638F449C">
            <w:pPr>
              <w:pStyle w:val="3"/>
              <w:widowControl w:val="0"/>
              <w:spacing w:before="257" w:line="217" w:lineRule="auto"/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1"/>
                <w:kern w:val="0"/>
                <w:sz w:val="21"/>
                <w:szCs w:val="21"/>
                <w:lang w:val="en-US" w:eastAsia="en-US" w:bidi="ar-SA"/>
              </w:rPr>
              <w:t>因不可抗拒的客观原因和非旅行社原因（如天灾、战争、罢工、疫情等）或航空公司航班原因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1"/>
                <w:kern w:val="0"/>
                <w:sz w:val="21"/>
                <w:szCs w:val="21"/>
                <w:lang w:val="en-US" w:eastAsia="zh-CN" w:bidi="ar-SA"/>
              </w:rPr>
              <w:t>，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1"/>
                <w:kern w:val="0"/>
                <w:sz w:val="21"/>
                <w:szCs w:val="21"/>
                <w:lang w:val="en-US" w:eastAsia="en-US" w:bidi="ar-SA"/>
              </w:rPr>
              <w:t>相应的超出费用，旅行社有权追加收取</w:t>
            </w:r>
          </w:p>
          <w:p w14:paraId="0D52C952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</w:p>
        </w:tc>
      </w:tr>
      <w:tr w14:paraId="7AF95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531" w:type="dxa"/>
            <w:vAlign w:val="center"/>
          </w:tcPr>
          <w:p w14:paraId="0AFB2D0F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632" w:type="dxa"/>
            <w:vAlign w:val="center"/>
          </w:tcPr>
          <w:p w14:paraId="38280B25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门票</w:t>
            </w:r>
          </w:p>
        </w:tc>
        <w:tc>
          <w:tcPr>
            <w:tcW w:w="2987" w:type="dxa"/>
            <w:vAlign w:val="center"/>
          </w:tcPr>
          <w:p w14:paraId="4E81B950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是否包含所有门票</w:t>
            </w:r>
          </w:p>
        </w:tc>
        <w:tc>
          <w:tcPr>
            <w:tcW w:w="912" w:type="dxa"/>
            <w:vAlign w:val="center"/>
          </w:tcPr>
          <w:p w14:paraId="30621A88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141" w:type="dxa"/>
            <w:vAlign w:val="center"/>
          </w:tcPr>
          <w:p w14:paraId="75A105F5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3"/>
              </w:rPr>
              <w:t>小费</w:t>
            </w:r>
          </w:p>
        </w:tc>
        <w:tc>
          <w:tcPr>
            <w:tcW w:w="3097" w:type="dxa"/>
            <w:vAlign w:val="center"/>
          </w:tcPr>
          <w:p w14:paraId="78D701FB">
            <w:pPr>
              <w:pStyle w:val="3"/>
              <w:widowControl w:val="0"/>
              <w:spacing w:before="287" w:line="213" w:lineRule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3"/>
              </w:rPr>
              <w:t>不强制要求小费，如果觉得导游司机服务很棒，建议游客可以每人每天各给司机和导游 30 元</w:t>
            </w:r>
          </w:p>
          <w:p w14:paraId="1B937C3D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</w:p>
        </w:tc>
      </w:tr>
      <w:tr w14:paraId="28867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31" w:type="dxa"/>
            <w:vAlign w:val="center"/>
          </w:tcPr>
          <w:p w14:paraId="1282C123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632" w:type="dxa"/>
            <w:vAlign w:val="center"/>
          </w:tcPr>
          <w:p w14:paraId="3F6BA179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旅游保险</w:t>
            </w:r>
          </w:p>
        </w:tc>
        <w:tc>
          <w:tcPr>
            <w:tcW w:w="2987" w:type="dxa"/>
            <w:vAlign w:val="center"/>
          </w:tcPr>
          <w:p w14:paraId="075DB8EF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Arial" w:eastAsia="宋体"/>
                <w:sz w:val="21"/>
                <w:lang w:eastAsia="zh-CN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1675765</wp:posOffset>
                  </wp:positionH>
                  <wp:positionV relativeFrom="paragraph">
                    <wp:posOffset>495935</wp:posOffset>
                  </wp:positionV>
                  <wp:extent cx="3731895" cy="2799080"/>
                  <wp:effectExtent l="0" t="0" r="0" b="8255"/>
                  <wp:wrapNone/>
                  <wp:docPr id="1" name="图片 1" descr="160e7a91e27b28677a6addf6112ab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60e7a91e27b28677a6addf6112ab39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895" cy="2799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 xml:space="preserve"> 旅游意外险、旅游车座位险、旅行社责任险（三险齐全）</w:t>
            </w:r>
          </w:p>
        </w:tc>
        <w:tc>
          <w:tcPr>
            <w:tcW w:w="912" w:type="dxa"/>
            <w:vAlign w:val="center"/>
          </w:tcPr>
          <w:p w14:paraId="36E2E3A0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141" w:type="dxa"/>
            <w:vAlign w:val="center"/>
          </w:tcPr>
          <w:p w14:paraId="2F75F415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6"/>
              </w:rPr>
              <w:t>往返大交通</w:t>
            </w:r>
          </w:p>
        </w:tc>
        <w:tc>
          <w:tcPr>
            <w:tcW w:w="3097" w:type="dxa"/>
            <w:vAlign w:val="center"/>
          </w:tcPr>
          <w:p w14:paraId="5252C4B4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6"/>
              </w:rPr>
              <w:t>机票或火车票等往返川西的大交通费用不包含在团费内，若需要代订，费用另收</w:t>
            </w:r>
          </w:p>
        </w:tc>
      </w:tr>
      <w:tr w14:paraId="2B946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0" w:hRule="atLeast"/>
        </w:trPr>
        <w:tc>
          <w:tcPr>
            <w:tcW w:w="531" w:type="dxa"/>
            <w:vAlign w:val="center"/>
          </w:tcPr>
          <w:p w14:paraId="5A49A6A8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632" w:type="dxa"/>
            <w:vAlign w:val="center"/>
          </w:tcPr>
          <w:p w14:paraId="7B84F531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接送服务</w:t>
            </w:r>
          </w:p>
        </w:tc>
        <w:tc>
          <w:tcPr>
            <w:tcW w:w="2987" w:type="dxa"/>
            <w:vAlign w:val="center"/>
          </w:tcPr>
          <w:p w14:paraId="11402771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 xml:space="preserve"> 提供24 小时免费接送机服务 </w:t>
            </w:r>
          </w:p>
        </w:tc>
        <w:tc>
          <w:tcPr>
            <w:tcW w:w="5150" w:type="dxa"/>
            <w:gridSpan w:val="3"/>
            <w:vMerge w:val="restart"/>
            <w:vAlign w:val="center"/>
          </w:tcPr>
          <w:p w14:paraId="562F2FD5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</w:p>
        </w:tc>
      </w:tr>
      <w:tr w14:paraId="13ADB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531" w:type="dxa"/>
            <w:vAlign w:val="center"/>
          </w:tcPr>
          <w:p w14:paraId="2F7C787A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632" w:type="dxa"/>
            <w:vAlign w:val="center"/>
          </w:tcPr>
          <w:p w14:paraId="67E30C73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无人机拍照</w:t>
            </w:r>
          </w:p>
        </w:tc>
        <w:tc>
          <w:tcPr>
            <w:tcW w:w="2987" w:type="dxa"/>
            <w:vAlign w:val="center"/>
          </w:tcPr>
          <w:p w14:paraId="0B48F801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提供免费无人机拍照服务</w:t>
            </w:r>
          </w:p>
        </w:tc>
        <w:tc>
          <w:tcPr>
            <w:tcW w:w="5150" w:type="dxa"/>
            <w:gridSpan w:val="3"/>
            <w:vMerge w:val="continue"/>
            <w:vAlign w:val="center"/>
          </w:tcPr>
          <w:p w14:paraId="4E00F215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</w:p>
        </w:tc>
      </w:tr>
      <w:tr w14:paraId="13ACF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531" w:type="dxa"/>
            <w:vAlign w:val="center"/>
          </w:tcPr>
          <w:p w14:paraId="6B103C88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1632" w:type="dxa"/>
            <w:vAlign w:val="center"/>
          </w:tcPr>
          <w:p w14:paraId="7614C9CD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高原体检服务</w:t>
            </w:r>
          </w:p>
        </w:tc>
        <w:tc>
          <w:tcPr>
            <w:tcW w:w="2987" w:type="dxa"/>
            <w:vAlign w:val="center"/>
          </w:tcPr>
          <w:p w14:paraId="479424BB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抵达拉萨安排医生对游客进行血氧、血压检查</w:t>
            </w:r>
          </w:p>
        </w:tc>
        <w:tc>
          <w:tcPr>
            <w:tcW w:w="5150" w:type="dxa"/>
            <w:gridSpan w:val="3"/>
            <w:vMerge w:val="continue"/>
            <w:vAlign w:val="center"/>
          </w:tcPr>
          <w:p w14:paraId="44B6B3BA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</w:p>
        </w:tc>
      </w:tr>
      <w:tr w14:paraId="3D54B0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1" w:type="dxa"/>
            <w:vAlign w:val="center"/>
          </w:tcPr>
          <w:p w14:paraId="11A18F84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632" w:type="dxa"/>
            <w:vAlign w:val="center"/>
          </w:tcPr>
          <w:p w14:paraId="2C4460C7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附加服务</w:t>
            </w:r>
          </w:p>
        </w:tc>
        <w:tc>
          <w:tcPr>
            <w:tcW w:w="2987" w:type="dxa"/>
            <w:vAlign w:val="center"/>
          </w:tcPr>
          <w:p w14:paraId="01D080F3">
            <w:pPr>
              <w:pStyle w:val="3"/>
              <w:widowControl w:val="0"/>
              <w:spacing w:before="238" w:line="213" w:lineRule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</w:rPr>
              <w:t>赠送每人 1小瓶可携式氧气 ；</w:t>
            </w:r>
            <w:r>
              <w:rPr>
                <w:rFonts w:hint="eastAsia" w:ascii="微软雅黑" w:hAnsi="微软雅黑" w:eastAsia="微软雅黑" w:cs="微软雅黑"/>
                <w:spacing w:val="-1"/>
                <w:lang w:val="en-US" w:eastAsia="zh-CN"/>
              </w:rPr>
              <w:t>车载10L氧气钢瓶；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赠送每人每天</w:t>
            </w:r>
            <w:r>
              <w:rPr>
                <w:rFonts w:hint="eastAsia" w:ascii="微软雅黑" w:hAnsi="微软雅黑" w:eastAsia="微软雅黑" w:cs="微软雅黑"/>
                <w:spacing w:val="5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2</w:t>
            </w:r>
            <w:r>
              <w:rPr>
                <w:rFonts w:hint="eastAsia" w:ascii="微软雅黑" w:hAnsi="微软雅黑" w:eastAsia="微软雅黑" w:cs="微软雅黑"/>
                <w:spacing w:val="8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小瓶矿泉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水（300ml装）</w:t>
            </w:r>
          </w:p>
          <w:p w14:paraId="7F79B04A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5150" w:type="dxa"/>
            <w:gridSpan w:val="3"/>
            <w:vMerge w:val="continue"/>
            <w:vAlign w:val="center"/>
          </w:tcPr>
          <w:p w14:paraId="572E0C16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</w:p>
        </w:tc>
      </w:tr>
    </w:tbl>
    <w:p w14:paraId="4093B602">
      <w:pPr>
        <w:spacing w:line="244" w:lineRule="auto"/>
        <w:rPr>
          <w:rFonts w:ascii="Arial"/>
          <w:sz w:val="21"/>
        </w:rPr>
      </w:pPr>
    </w:p>
    <w:p w14:paraId="372700A3">
      <w:pPr>
        <w:pStyle w:val="3"/>
        <w:spacing w:before="238" w:line="213" w:lineRule="auto"/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</w:rPr>
        <w:t>退改政策</w:t>
      </w:r>
    </w:p>
    <w:p w14:paraId="052DBA11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  <w:lang w:eastAsia="zh-CN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 xml:space="preserve">1 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eastAsia="zh-CN"/>
        </w:rPr>
        <w:t>、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出行前，游客由于自身原因取消行程的，定金退返政策如下：行程开始前 20 天以上取消，免费取消；行程开始前 19-4 天取消 ，收取所付定金30%违约金；行程开始前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3 天以内取消，收取所付定金 50%违约金；行程开始前  1 天取消 ，定金不退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eastAsia="zh-CN"/>
        </w:rPr>
        <w:t>。</w:t>
      </w:r>
    </w:p>
    <w:p w14:paraId="146F0A34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  <w:lang w:eastAsia="zh-CN"/>
        </w:rPr>
      </w:pP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 xml:space="preserve"> 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eastAsia="zh-CN"/>
        </w:rPr>
        <w:t>、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参团过程中 ，如因游客受伤，意外事故，或疾病等个人因素需要提前取消行程，退回未消费的门票与酒店费用，其中酒店若与他人拼房，离开后不影响我公司酒店预定房间数，不予退费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eastAsia="zh-CN"/>
        </w:rPr>
        <w:t>。</w:t>
      </w:r>
    </w:p>
    <w:p w14:paraId="61E41E4F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-1"/>
        </w:rPr>
      </w:pP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 xml:space="preserve"> 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eastAsia="zh-CN"/>
        </w:rPr>
        <w:t>、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在不影响行程的前提下，旅行社有权调整景点浏览以及住宿的前后顺序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eastAsia="zh-CN"/>
        </w:rPr>
        <w:t>。</w:t>
      </w:r>
    </w:p>
    <w:p w14:paraId="44E6F2DE">
      <w:pPr>
        <w:spacing w:line="244" w:lineRule="auto"/>
        <w:rPr>
          <w:rFonts w:ascii="Arial"/>
          <w:sz w:val="21"/>
        </w:rPr>
      </w:pPr>
    </w:p>
    <w:p w14:paraId="13EE0DF2">
      <w:pPr>
        <w:spacing w:line="244" w:lineRule="auto"/>
        <w:rPr>
          <w:rFonts w:ascii="Arial"/>
          <w:sz w:val="21"/>
        </w:rPr>
      </w:pPr>
    </w:p>
    <w:p w14:paraId="47966238">
      <w:pPr>
        <w:pStyle w:val="3"/>
        <w:spacing w:before="238" w:line="213" w:lineRule="auto"/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</w:rPr>
        <w:t>服务标准承诺</w:t>
      </w:r>
    </w:p>
    <w:p w14:paraId="552535C2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1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: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司机全程佩戴白手套（未执行游客群里发红包：100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元）</w:t>
      </w:r>
    </w:p>
    <w:p w14:paraId="5BDB5EBD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2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: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衣着干净、整洁（未执行游客群里发红包：100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元）</w:t>
      </w:r>
    </w:p>
    <w:p w14:paraId="6B6D26C0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3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: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每天打扫车内卫生（未执行游客群里发红包：200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元）</w:t>
      </w:r>
    </w:p>
    <w:p w14:paraId="0BA318DE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4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: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安全驾驶，严禁超速（未执行游客群里发红包：500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元）</w:t>
      </w:r>
    </w:p>
    <w:p w14:paraId="46FAD690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5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: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提前10分钟抵达规定位置迎接游客（宾馆 、景区 、餐厅等） （未执行游客群里发红包：200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元）</w:t>
      </w:r>
    </w:p>
    <w:p w14:paraId="37911216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6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: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开车接电话必须配载耳机并且时间不超过2分钟（未执行游客群里发红包：300 元）</w:t>
      </w:r>
    </w:p>
    <w:p w14:paraId="0845ABD9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7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: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司机导游主动积极为游客提供力所能及的附加服务。</w:t>
      </w:r>
    </w:p>
    <w:p w14:paraId="6AF617EF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8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: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亲切对待游客，让客人安心、放心 、有收获。</w:t>
      </w:r>
    </w:p>
    <w:p w14:paraId="2CE9A340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55EBEA86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7C3D9396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02A475C3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747B19F2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13E16B6E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22070ECC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3A2737ED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4CB4B86B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138C227C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06416EA5">
      <w:pPr>
        <w:pStyle w:val="3"/>
        <w:pBdr>
          <w:bottom w:val="single" w:color="auto" w:sz="4" w:space="0"/>
        </w:pBdr>
        <w:spacing w:before="238" w:line="213" w:lineRule="auto"/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  <w:lang w:val="en-US" w:eastAsia="zh-CN"/>
        </w:rPr>
        <w:t>详细行程</w:t>
      </w:r>
    </w:p>
    <w:p w14:paraId="02F50917">
      <w:pPr>
        <w:pStyle w:val="3"/>
        <w:spacing w:before="238" w:line="213" w:lineRule="auto"/>
        <w:rPr>
          <w:rFonts w:hint="eastAsia" w:ascii="微软雅黑" w:hAnsi="微软雅黑" w:eastAsia="微软雅黑" w:cs="微软雅黑"/>
          <w:lang w:val="en-US" w:eastAsia="zh-CN"/>
        </w:rPr>
      </w:pPr>
    </w:p>
    <w:p w14:paraId="1D890504">
      <w:pPr>
        <w:pStyle w:val="3"/>
        <w:spacing w:before="238" w:line="213" w:lineRule="auto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D1:各地-乌鲁木齐 (接机)</w:t>
      </w:r>
    </w:p>
    <w:p w14:paraId="73494500">
      <w:pPr>
        <w:pStyle w:val="3"/>
        <w:spacing w:before="238" w:line="213" w:lineRule="auto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根据航班时间，工作人员在乌鲁木齐地窝堡国际机场接机，随后乘车前往市区酒店（车程约 40 分钟 - 1 小时，视酒店位置而定），办理入住后稍作休整。推荐前往新疆国际大巴扎，逛特色商铺（如手工地毯、民族乐器），体验维吾尔族市井文化；也可去二道桥市场，购买葡萄干、巴旦木等干果（注意比价，选择明码标价商铺）。在大巴扎附近或市区餐厅，品尝新疆特色美食，如手抓饭（推荐羊肉手抓饭）、烤包子（皮脆馅足）、石榴汁（现榨更鲜），避免过量饮食以防肠胃不适。新疆与内地有 2 小时时差（如内地 19 点天黑，新疆约 21 点天黑），建议早点休息，调整作息，为次日长途车程储备精力。</w:t>
      </w:r>
    </w:p>
    <w:p w14:paraId="6039F30E">
      <w:pPr>
        <w:pStyle w:val="3"/>
        <w:spacing w:before="238" w:line="213" w:lineRule="auto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D2：乌鲁木齐-S21沙漠公路-途经乌伦古湖-布尔津/阿勒泰</w:t>
      </w:r>
    </w:p>
    <w:p w14:paraId="3EBAF618">
      <w:pPr>
        <w:bidi w:val="0"/>
        <w:rPr>
          <w:rFonts w:hint="default"/>
          <w:lang w:val="en-US" w:eastAsia="zh-CN"/>
        </w:rPr>
      </w:pPr>
    </w:p>
    <w:p w14:paraId="6FAAE3F1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专车从乌鲁木齐出发，沿吐和高速前往博斯腾湖，途中停靠服务区 2 次，供游客休息、用餐（，导游推荐服务区特色简餐）。游览【博斯腾湖】（已含门票 + 景区区间车），导游带领打卡 “金沙滩”，漫步湖边栈道赏 “中国最大内陆淡水湖” 风光；夏季可体验湖边骑行（费用自理），秋季可观赏芦苇荡与候鸟（视季节而定）。专车前往库尔勒市区，途中导游介绍库尔勒 “梨城” 特色，推荐当地香梨购买渠道。抵达库尔勒，办理酒店入住，晚餐自理</w:t>
      </w:r>
    </w:p>
    <w:p w14:paraId="5883D50E">
      <w:pPr>
        <w:bidi w:val="0"/>
        <w:jc w:val="left"/>
        <w:rPr>
          <w:rFonts w:hint="eastAsia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</w:p>
    <w:p w14:paraId="7FEB429D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D3：</w:t>
      </w:r>
      <w:r>
        <w:rPr>
          <w:rFonts w:hint="eastAsia" w:ascii="微软雅黑" w:hAnsi="微软雅黑" w:eastAsia="微软雅黑" w:cs="微软雅黑"/>
          <w:lang w:val="en-US" w:eastAsia="zh-CN"/>
        </w:rPr>
        <w:t>布尔津/阿勒泰-阿禾公路（若开放）-禾木</w:t>
      </w:r>
    </w:p>
    <w:p w14:paraId="1C90DE7F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</w:p>
    <w:p w14:paraId="553593EE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在酒店吃早餐后出发，优先选择阿禾公路（若因天气 / 施工封闭，则绕行 “布尔津 - 贾登峪 - 禾木” 常规路线），全程约 180-200 公里，车程 3.5-4.5 小时。阿禾公路串联草原、森林、村落，沿途会经过 “冲乎尔草原”“禾木河谷”，每遇观景台或安全停车点就停靠（每次 10-15 分钟），拍草原牛羊、森林溪流，随手都是壁纸级画面。抵达禾木村景区入口（“禾木门票站”），在附近餐厅吃午餐（推荐野菜炒肉、土豆丝拌面）。购买禾木景区门票 + 区间车票，乘区间车进入村内（车程约 50 分钟，沿途会经过禾木河，可欣赏河谷风光），抵达后入住木屋民宿（禾木民宿多带小院，部分可俯瞰村落）。下午自由活动，推荐 2 种玩法：徒步至禾木观景台（单程约 1 小时，步道平缓，适合所有人群），俯瞰整个禾木村（木屋群、禾木河、远处雪山），拍村落全景或者沿禾木河漫步（从村西头走到 “禾木桥”），踩鹅卵石、听河水声，近距离感受图瓦族村落的原始宁静，偶遇村民放牧（不要随意投喂牛羊）。前往观景台等待日落（夏季日落约 21 点，冬季约 18 点），看夕阳为木屋、森林镀上金边；日落后返回村内，在民宿或村内餐厅吃晚餐（推荐手抓肉、大盘鸡，人均约 60-80 元）。</w:t>
      </w:r>
    </w:p>
    <w:p w14:paraId="612C6A50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</w:p>
    <w:p w14:paraId="5334731D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D4：</w:t>
      </w:r>
      <w:r>
        <w:rPr>
          <w:rFonts w:hint="eastAsia" w:ascii="微软雅黑" w:hAnsi="微软雅黑" w:eastAsia="微软雅黑" w:cs="微软雅黑"/>
          <w:lang w:val="en-US" w:eastAsia="zh-CN"/>
        </w:rPr>
        <w:t>贾登峪/禾木-喀纳斯湖边漫步-布尔津</w:t>
      </w:r>
    </w:p>
    <w:p w14:paraId="7B5C727B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</w:p>
    <w:p w14:paraId="62641027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在禾木民宿吃早餐（多为粥、鸡蛋、馕），08:30 前退房，乘区间车出禾木景区（车程约 50 分钟，建议提前 10 分钟在乘车点排队，避免人多等待）。从禾木门票站乘车前往喀纳斯景区（车程约 1 小时，若前一晚住贾登峪，则直接从贾登峪乘喀纳斯景区区间车进入），抵达后先乘区间车至 “喀纳斯湖游客中心”（车程约 30 分钟）。在游客中心附近餐厅吃午餐（景区内消费较高，人均约 50-80 元，也可吃自备的干粮，如面包、火腿）。点沿 “喀纳斯湖三湾”（神仙湾、月亮湾、卧龙湾）步道漫步，推荐路线：先乘区间车至 “神仙湾”（距游客中心约 15 分钟车程），清晨有晨雾，下午可看湖面反光如碎银，停留 20 分钟拍照；步行至 “月亮湾”（约 1.5 公里，步道平缓，沿途有森林、溪流，约 30 分钟），看湖面形似弯月，岸边有 “脚印滩”，拍标志性景观；再步行至 “卧龙湾”（约 1 公里，20 分钟），看湖中的小岛形似卧龙，可下到湖边近距离接触湖水（湖水冰凉，勿戏水）；若时间充裕，可自愿选择乘游船游湖（约 1 小时，费用约 120 元 / 人），从湖面视角欣赏喀纳斯湖的湛蓝与壮阔。参观结束后，乘区间车出喀纳斯景区（若从贾登峪离开，车程约 30 分钟），随后乘车返回布尔津（约 150 公里，车程 2.5 小时）。傍晚抵达布尔津，办理酒店入住后，可再次逛河堤夜市，补充次日零食，或在市区吃晚餐（推荐尝试 “格瓦斯” 饮料，口感类似面包汽水）。</w:t>
      </w:r>
    </w:p>
    <w:p w14:paraId="10966C78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</w:p>
    <w:p w14:paraId="06EB01B9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D5：</w:t>
      </w:r>
      <w:r>
        <w:rPr>
          <w:rFonts w:hint="eastAsia" w:ascii="微软雅黑" w:hAnsi="微软雅黑" w:eastAsia="微软雅黑" w:cs="微软雅黑"/>
          <w:lang w:val="en-US" w:eastAsia="zh-CN"/>
        </w:rPr>
        <w:t>布尔津-五彩滩-乌尔禾</w:t>
      </w:r>
    </w:p>
    <w:p w14:paraId="44B3C88C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</w:p>
    <w:p w14:paraId="6C1F4783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在布尔津酒店吃早餐后出发，先前往五彩滩（约 24 公里，车程 25 分钟），09:30 前抵达景区（避开正午强光，上午光线柔和，拍出来的雅丹地貌更鲜艳）。购买门票（约 50 元 / 人）后进入景区，沿木栈道步行游览（全程约 1.5 公里，1.5 小时），重点欣赏 “一河两岸，两重天” 的景观：北岸：雅丹地貌，岩石因含矿物质不同，呈现红、绿、黄、紫等颜色，在阳光下色彩斑斓；南岸：葱郁的胡杨林，与北岸的荒凉形成鲜明对比；中间：额尔齐斯河（中国唯一流入北冰洋的河流）穿流而过，河水清澈，倒映两岸风光。推荐在 “观景台”“吊桥” 处拍照，记录两岸不同景色。离开五彩滩后，在布尔津市区或沿途小镇（如 “窝依莫克镇”）吃午餐，推荐 “布尔津冷水鱼焖饼”，人均约 60-80 元。午餐后乘车前往乌尔禾（约 220 公里，车程 3.5-4 小时），沿途以戈壁、草原风光为主，可在安全停车点短暂休息，缓解车程疲劳。傍晚抵达乌尔禾，办理酒店入住后，可在酒店休息 1-2 小时，避开傍晚高温（夏季乌尔禾午后气温较高）。若正值秋季（10 月），19:30 后可前往乌尔禾胡杨林公园（约 10 公里，车程 15 分钟，门票约 40 元），看夕阳下的胡杨（金黄树叶搭配戈壁，极具氛围感），游玩约 1 小时后返回市区吃晚餐（推荐乌尔禾大盘鸡，分量足）。</w:t>
      </w:r>
    </w:p>
    <w:p w14:paraId="1A30BDA2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</w:p>
    <w:p w14:paraId="0BECE343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D6：</w:t>
      </w:r>
      <w:r>
        <w:rPr>
          <w:rFonts w:hint="eastAsia" w:ascii="微软雅黑" w:hAnsi="微软雅黑" w:eastAsia="微软雅黑" w:cs="微软雅黑"/>
          <w:lang w:val="en-US" w:eastAsia="zh-CN"/>
        </w:rPr>
        <w:t>乌尔禾-魔鬼城-乌鲁木齐</w:t>
      </w:r>
    </w:p>
    <w:p w14:paraId="3DA3A677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</w:p>
    <w:p w14:paraId="692E24FA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在乌尔禾酒店吃早餐后出发，前往世界魔鬼城，9:00 前抵达购买门票 + 小火车票（门票约 46 元，小火车必乘，约 50 元，全程 1 小时），乘小火车进入景区游览：小火车会在 4 个固定观景台停靠（每站停留 15-20 分钟），可下车拍照，听讲解员介绍地貌形成（亿年前为湖泊，经风化、侵蚀形成雅丹地貌）及 “魔鬼城” 名称由来（风穿过岩石缝隙，发出呼啸声，类似 “魔鬼嘶吼”）；推荐在 “城堡观景台”“恐龙谷观景台” 拍照，看形态各异的雅丹石柱（如 “孔雀开屏”“海狮望月”），感受戈壁的苍凉壮阔。离开魔鬼城后，在景区出口餐厅或乌尔禾市区吃午餐（推荐新疆炒米粉，可选择微辣，避免过辣刺激肠胃），人均约 30-50 元。午餐后乘车返回乌鲁木齐（约 400 公里，车程 4.5-5 小时），沿途可欣赏戈壁与农田交替的风光，若遇傍晚，可看戈壁日落（约 19 点左右）。傍晚抵达乌鲁木齐，办理酒店入住后，前往市区特色餐厅（如 “小尕子”“阿布拉的馕”），吃一顿丰盛的收尾晚餐，推荐大盘鸡、椒麻鸡、酸奶粽子，人均约 60-80 元。</w:t>
      </w:r>
    </w:p>
    <w:p w14:paraId="2566DFDB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</w:p>
    <w:p w14:paraId="509AF86B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D7：</w:t>
      </w:r>
      <w:r>
        <w:rPr>
          <w:rFonts w:hint="eastAsia" w:ascii="微软雅黑" w:hAnsi="微软雅黑" w:eastAsia="微软雅黑" w:cs="微软雅黑"/>
          <w:lang w:val="en-US" w:eastAsia="zh-CN"/>
        </w:rPr>
        <w:t>乌鲁木齐-各地 (送机)</w:t>
      </w:r>
    </w:p>
    <w:p w14:paraId="6529A8DA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</w:p>
    <w:p w14:paraId="645544D9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根据航班时间，提前 2-3 小时退房（如 12 点前航班，07:30 吃早餐，08:30 前出发；15 点后航班，09:30 吃早餐，10:30 前出发），整理行李时检查是否遗漏身份证、充电器等物品。乘车前往乌鲁木齐地窝堡国际机场（车程约 40 分钟 - 1 小时，高峰期可能堵车，需预留充足时间），新疆机场安检严格（液体、刀具需单独存放），建议提前 1.5 小时抵达机场。在机场办理值机、托运行李（若购买了干果等特产，可随身携带或托运，避免超重），过安检后前往登机口，等待登机。乘飞机返回出发地，结束此次北疆行程。</w:t>
      </w:r>
    </w:p>
    <w:p w14:paraId="338438C3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bookmarkStart w:id="4" w:name="_GoBack"/>
      <w:bookmarkEnd w:id="4"/>
    </w:p>
    <w:sectPr>
      <w:headerReference r:id="rId5" w:type="default"/>
      <w:footerReference r:id="rId6" w:type="default"/>
      <w:pgSz w:w="11906" w:h="16839"/>
      <w:pgMar w:top="843" w:right="1650" w:bottom="0" w:left="138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51B139">
    <w:pPr>
      <w:pStyle w:val="4"/>
      <w:jc w:val="right"/>
      <w:rPr>
        <w:rFonts w:hint="eastAsia" w:ascii="黑体" w:hAnsi="黑体" w:eastAsia="黑体" w:cs="黑体"/>
      </w:rPr>
    </w:pPr>
    <w:r>
      <w:rPr>
        <w:rFonts w:hint="eastAsia" w:ascii="黑体" w:hAnsi="黑体" w:eastAsia="黑体" w:cs="黑体"/>
      </w:rPr>
      <w:t>中国·西藏自治区·拉萨市城</w:t>
    </w:r>
    <w:r>
      <w:rPr>
        <w:rFonts w:hint="eastAsia" w:ascii="黑体" w:hAnsi="黑体" w:eastAsia="宋体" w:cs="黑体"/>
        <w:lang w:val="en-US" w:eastAsia="zh-CN"/>
      </w:rPr>
      <w:t>西</w:t>
    </w:r>
    <w:r>
      <w:rPr>
        <w:rFonts w:hint="eastAsia" w:ascii="黑体" w:hAnsi="黑体" w:eastAsia="黑体" w:cs="黑体"/>
      </w:rPr>
      <w:t>区</w:t>
    </w:r>
    <w:r>
      <w:rPr>
        <w:rFonts w:hint="eastAsia" w:ascii="黑体" w:hAnsi="黑体" w:eastAsia="宋体" w:cs="黑体"/>
        <w:lang w:val="en-US" w:eastAsia="zh-CN"/>
      </w:rPr>
      <w:t>空指路</w:t>
    </w:r>
    <w:r>
      <w:rPr>
        <w:rFonts w:hint="eastAsia" w:ascii="黑体" w:hAnsi="黑体" w:eastAsia="黑体" w:cs="黑体"/>
      </w:rPr>
      <w:t>-西藏</w:t>
    </w:r>
    <w:r>
      <w:rPr>
        <w:rFonts w:hint="eastAsia" w:ascii="黑体" w:hAnsi="黑体" w:eastAsia="宋体" w:cs="黑体"/>
        <w:lang w:val="en-US" w:eastAsia="zh-CN"/>
      </w:rPr>
      <w:t>山之灵</w:t>
    </w:r>
    <w:r>
      <w:rPr>
        <w:rFonts w:hint="eastAsia" w:ascii="黑体" w:hAnsi="黑体" w:eastAsia="黑体" w:cs="黑体"/>
      </w:rPr>
      <w:t>旅行社有限公司</w:t>
    </w:r>
  </w:p>
  <w:p w14:paraId="5D5DE490">
    <w:pPr>
      <w:pStyle w:val="3"/>
      <w:spacing w:before="46" w:line="229" w:lineRule="auto"/>
      <w:outlineLvl w:val="1"/>
      <w:rPr>
        <w:rFonts w:hint="eastAsia" w:ascii="黑体" w:hAnsi="黑体" w:eastAsia="黑体" w:cs="黑体"/>
        <w:b/>
        <w:bCs/>
        <w:spacing w:val="3"/>
        <w:lang w:val="en-US" w:eastAsia="zh-CN"/>
      </w:rPr>
    </w:pPr>
  </w:p>
  <w:p w14:paraId="0D857A07"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09CEF9">
    <w:pPr>
      <w:spacing w:before="104" w:line="212" w:lineRule="auto"/>
      <w:ind w:firstLine="1260" w:firstLineChars="600"/>
      <w:outlineLvl w:val="0"/>
      <w:rPr>
        <w:rFonts w:hint="eastAsia" w:ascii="宋体" w:hAnsi="宋体" w:eastAsia="宋体" w:cs="宋体"/>
        <w:b/>
        <w:bCs/>
        <w:spacing w:val="-14"/>
        <w:sz w:val="36"/>
        <w:szCs w:val="36"/>
        <w:lang w:val="en-US" w:eastAsia="zh-CN"/>
      </w:rPr>
    </w:pPr>
    <w:r>
      <w:rPr>
        <w:position w:val="-19"/>
      </w:rPr>
      <w:drawing>
        <wp:anchor distT="0" distB="0" distL="0" distR="0" simplePos="0" relativeHeight="251660288" behindDoc="1" locked="0" layoutInCell="1" allowOverlap="1">
          <wp:simplePos x="0" y="0"/>
          <wp:positionH relativeFrom="column">
            <wp:posOffset>-198120</wp:posOffset>
          </wp:positionH>
          <wp:positionV relativeFrom="paragraph">
            <wp:posOffset>17780</wp:posOffset>
          </wp:positionV>
          <wp:extent cx="1206500" cy="610870"/>
          <wp:effectExtent l="0" t="0" r="12700" b="17780"/>
          <wp:wrapNone/>
          <wp:docPr id="13" name="IM 2" descr="C:/Users/Administrator/Desktop/微信图片_20250605122815.jpg微信图片_2025060512281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 2" descr="C:/Users/Administrator/Desktop/微信图片_20250605122815.jpg微信图片_20250605122815"/>
                  <pic:cNvPicPr/>
                </pic:nvPicPr>
                <pic:blipFill>
                  <a:blip r:embed="rId1"/>
                  <a:srcRect t="15921" b="15921"/>
                  <a:stretch>
                    <a:fillRect/>
                  </a:stretch>
                </pic:blipFill>
                <pic:spPr>
                  <a:xfrm>
                    <a:off x="0" y="0"/>
                    <a:ext cx="1206500" cy="6111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egoe UI" w:hAnsi="Segoe UI" w:eastAsia="宋体" w:cs="Segoe UI"/>
        <w:i w:val="0"/>
        <w:iCs w:val="0"/>
        <w:caps w:val="0"/>
        <w:spacing w:val="0"/>
        <w:sz w:val="48"/>
        <w:szCs w:val="48"/>
        <w:shd w:val="clear" w:fill="FFFFFF"/>
      </w:rPr>
      <w:t>བོད་སངས་སི་གནས་གསོག</w:t>
    </w:r>
  </w:p>
  <w:p w14:paraId="0F7491B4">
    <w:pPr>
      <w:pStyle w:val="5"/>
      <w:ind w:firstLine="1334" w:firstLineChars="400"/>
    </w:pPr>
    <w:r>
      <w:rPr>
        <w:rFonts w:ascii="宋体" w:hAnsi="宋体" w:eastAsia="宋体" w:cs="宋体"/>
        <w:b/>
        <w:bCs/>
        <w:spacing w:val="-14"/>
        <w:sz w:val="36"/>
        <w:szCs w:val="36"/>
      </w:rPr>
      <w:t>山之灵旅行</w:t>
    </w:r>
    <w:r>
      <w:rPr>
        <w:rFonts w:hint="eastAsia" w:ascii="黑体" w:hAnsi="黑体" w:eastAsia="宋体" w:cs="黑体"/>
        <w:spacing w:val="8"/>
        <w:lang w:eastAsia="zh-CN"/>
      </w:rPr>
      <w:t>（</w:t>
    </w:r>
    <w:r>
      <w:rPr>
        <w:rFonts w:ascii="黑体" w:hAnsi="黑体" w:eastAsia="宋体" w:cs="黑体"/>
        <w:spacing w:val="8"/>
      </w:rPr>
      <w:t>西藏自治区拉萨市城西区空指路晨曦花园</w:t>
    </w:r>
    <w:r>
      <w:rPr>
        <w:rFonts w:ascii="黑体" w:hAnsi="黑体" w:eastAsia="宋体" w:cs="黑体"/>
        <w:spacing w:val="-23"/>
      </w:rPr>
      <w:t xml:space="preserve"> </w:t>
    </w:r>
    <w:r>
      <w:rPr>
        <w:rFonts w:eastAsia="宋体"/>
        <w:spacing w:val="8"/>
      </w:rPr>
      <w:t xml:space="preserve">602 </w:t>
    </w:r>
    <w:r>
      <w:rPr>
        <w:rFonts w:ascii="黑体" w:hAnsi="黑体" w:eastAsia="宋体" w:cs="黑体"/>
        <w:spacing w:val="8"/>
      </w:rPr>
      <w:t>室</w:t>
    </w:r>
    <w:r>
      <w:rPr>
        <w:rFonts w:hint="eastAsia" w:ascii="黑体" w:hAnsi="黑体" w:eastAsia="宋体" w:cs="黑体"/>
        <w:spacing w:val="8"/>
        <w:lang w:eastAsia="zh-CN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OWE0ZWY1NzZlYjU0Zjc1MmRhNWRlMDhhZjg1MDJiMGIifQ=="/>
  </w:docVars>
  <w:rsids>
    <w:rsidRoot w:val="00000000"/>
    <w:rsid w:val="000273CC"/>
    <w:rsid w:val="000C024B"/>
    <w:rsid w:val="06C47189"/>
    <w:rsid w:val="07E129C9"/>
    <w:rsid w:val="0ADF0A36"/>
    <w:rsid w:val="0EFB7A55"/>
    <w:rsid w:val="0F5575B6"/>
    <w:rsid w:val="11B73381"/>
    <w:rsid w:val="16C15493"/>
    <w:rsid w:val="17A04949"/>
    <w:rsid w:val="18077973"/>
    <w:rsid w:val="18E65FBE"/>
    <w:rsid w:val="190D063D"/>
    <w:rsid w:val="1ACD08AB"/>
    <w:rsid w:val="21AB121A"/>
    <w:rsid w:val="225B49EE"/>
    <w:rsid w:val="236A4B2A"/>
    <w:rsid w:val="24561911"/>
    <w:rsid w:val="25A64FDA"/>
    <w:rsid w:val="2726349B"/>
    <w:rsid w:val="2A09258C"/>
    <w:rsid w:val="300921FD"/>
    <w:rsid w:val="323112C7"/>
    <w:rsid w:val="32B83797"/>
    <w:rsid w:val="33B46BD6"/>
    <w:rsid w:val="36DC2791"/>
    <w:rsid w:val="37025FC2"/>
    <w:rsid w:val="3AE72E6B"/>
    <w:rsid w:val="3ED120A7"/>
    <w:rsid w:val="3F973CA2"/>
    <w:rsid w:val="3FB87251"/>
    <w:rsid w:val="45205950"/>
    <w:rsid w:val="456D167D"/>
    <w:rsid w:val="469366B7"/>
    <w:rsid w:val="4B9A2277"/>
    <w:rsid w:val="4DEC7B5D"/>
    <w:rsid w:val="4E482208"/>
    <w:rsid w:val="4E7A6CBB"/>
    <w:rsid w:val="548627BB"/>
    <w:rsid w:val="57775F3C"/>
    <w:rsid w:val="5A554E64"/>
    <w:rsid w:val="5DA62661"/>
    <w:rsid w:val="61CB6793"/>
    <w:rsid w:val="641B0DA0"/>
    <w:rsid w:val="67806F5E"/>
    <w:rsid w:val="678A2AD5"/>
    <w:rsid w:val="6C547446"/>
    <w:rsid w:val="6EE83DAF"/>
    <w:rsid w:val="6FDC65A6"/>
    <w:rsid w:val="70853FB1"/>
    <w:rsid w:val="718C1D65"/>
    <w:rsid w:val="72215DFA"/>
    <w:rsid w:val="742122D6"/>
    <w:rsid w:val="750A4112"/>
    <w:rsid w:val="755A0747"/>
    <w:rsid w:val="76876CD5"/>
    <w:rsid w:val="7828701F"/>
    <w:rsid w:val="79633BDA"/>
    <w:rsid w:val="7D1C04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semiHidden/>
    <w:qFormat/>
    <w:uiPriority w:val="0"/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autoRedefine/>
    <w:qFormat/>
    <w:uiPriority w:val="0"/>
    <w:rPr>
      <w:b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autoRedefine/>
    <w:semiHidden/>
    <w:qFormat/>
    <w:uiPriority w:val="0"/>
    <w:rPr>
      <w:rFonts w:ascii="黑体" w:hAnsi="黑体" w:eastAsia="黑体" w:cs="黑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4315</Words>
  <Characters>4627</Characters>
  <TotalTime>42</TotalTime>
  <ScaleCrop>false</ScaleCrop>
  <LinksUpToDate>false</LinksUpToDate>
  <CharactersWithSpaces>4808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2025-06-05T17:23:00Z</dcterms:created>
  <dc:creator>zhou!!!</dc:creator>
  <cp:lastModifiedBy>zhou!!!</cp:lastModifiedBy>
  <dcterms:modified xsi:type="dcterms:W3CDTF">2025-10-29T08:37:17Z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2025-06-05T17:23:32Z</vt:filetime>
  </property>
  <property fmtid="{D5CDD505-2E9C-101B-9397-08002B2CF9AE}" pid="4" name="KSOTemplateDocerSaveRecord">
    <vt:lpwstr>eyJoZGlkIjoiZjVlN2E2Yzg1MWU4ODBiY2JlMjA2YTE5OTBjODBjOGMiLCJ1c2VySWQiOiIzMzExOTgxMTEifQ==</vt:lpwstr>
  </property>
  <property fmtid="{D5CDD505-2E9C-101B-9397-08002B2CF9AE}" pid="5" name="KSOProductBuildVer">
    <vt:lpwstr>2052-12.1.0.23125</vt:lpwstr>
  </property>
  <property fmtid="{D5CDD505-2E9C-101B-9397-08002B2CF9AE}" pid="6" name="ICV">
    <vt:lpwstr>10CE6EBB8DA44CAFBC27BFF251F34E7C_13</vt:lpwstr>
  </property>
</Properties>
</file>